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D63D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53C9CD0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476B6059">
      <w:pPr>
        <w:keepNext w:val="0"/>
        <w:keepLines w:val="0"/>
        <w:widowControl/>
        <w:suppressLineNumbers w:val="0"/>
        <w:shd w:val="clear" w:fill="FFFFFF"/>
        <w:ind w:left="0" w:firstLine="1320" w:firstLineChars="30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福州公安缴费和电子票据业务</w:t>
      </w:r>
    </w:p>
    <w:p w14:paraId="0B26482F">
      <w:pPr>
        <w:snapToGrid w:val="0"/>
        <w:spacing w:line="300" w:lineRule="auto"/>
        <w:jc w:val="center"/>
        <w:outlineLvl w:val="0"/>
        <w:rPr>
          <w:rFonts w:hint="eastAsia" w:ascii="黑体" w:hAnsi="黑体" w:eastAsia="黑体" w:cs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运营服务项目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采购需求</w:t>
      </w:r>
    </w:p>
    <w:p w14:paraId="1F4AC9D3">
      <w:pPr>
        <w:spacing w:line="300" w:lineRule="auto"/>
        <w:jc w:val="center"/>
        <w:rPr>
          <w:rFonts w:ascii="黑体" w:hAnsi="华文细黑" w:eastAsia="黑体"/>
          <w:color w:val="000000"/>
          <w:sz w:val="44"/>
          <w:szCs w:val="44"/>
        </w:rPr>
      </w:pPr>
    </w:p>
    <w:p w14:paraId="40886E5F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0C8CBC04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59F3CF60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1BE1632A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58E7BE57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1B7CE7DA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63E8E501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46EF8305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000669C0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1541C2E4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673A3CE0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tbl>
      <w:tblPr>
        <w:tblStyle w:val="4"/>
        <w:tblpPr w:leftFromText="180" w:rightFromText="180" w:vertAnchor="text" w:horzAnchor="page" w:tblpX="3162" w:tblpY="362"/>
        <w:tblOverlap w:val="never"/>
        <w:tblW w:w="53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0"/>
      </w:tblGrid>
      <w:tr w14:paraId="5408F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0" w:type="dxa"/>
            <w:noWrap w:val="0"/>
            <w:vAlign w:val="top"/>
          </w:tcPr>
          <w:p w14:paraId="5324BFDC">
            <w:pPr>
              <w:pStyle w:val="7"/>
              <w:widowControl w:val="0"/>
              <w:spacing w:before="0" w:beforeAutospacing="0" w:after="0" w:afterAutospacing="0" w:line="600" w:lineRule="exact"/>
              <w:jc w:val="distribute"/>
              <w:rPr>
                <w:rFonts w:ascii="黑体" w:hAnsi="宋体" w:eastAsia="黑体" w:cs="Times New Roman"/>
                <w:color w:val="000000"/>
                <w:kern w:val="2"/>
                <w:sz w:val="36"/>
                <w:szCs w:val="36"/>
              </w:rPr>
            </w:pPr>
            <w:r>
              <w:rPr>
                <w:rFonts w:hint="eastAsia" w:ascii="黑体" w:hAnsi="Times New Roman" w:eastAsia="黑体"/>
                <w:color w:val="000000"/>
                <w:sz w:val="36"/>
                <w:szCs w:val="36"/>
              </w:rPr>
              <w:t>福州市公安局</w:t>
            </w:r>
            <w:r>
              <w:rPr>
                <w:rFonts w:hint="eastAsia" w:ascii="黑体" w:hAnsi="Times New Roman" w:eastAsia="黑体"/>
                <w:color w:val="000000"/>
                <w:sz w:val="36"/>
                <w:szCs w:val="36"/>
                <w:lang w:eastAsia="zh-CN"/>
              </w:rPr>
              <w:t>科技信息化</w:t>
            </w:r>
            <w:r>
              <w:rPr>
                <w:rFonts w:hint="eastAsia" w:ascii="黑体" w:hAnsi="Times New Roman" w:eastAsia="黑体"/>
                <w:color w:val="000000"/>
                <w:sz w:val="36"/>
                <w:szCs w:val="36"/>
              </w:rPr>
              <w:t>支队</w:t>
            </w:r>
          </w:p>
        </w:tc>
      </w:tr>
      <w:tr w14:paraId="09661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0" w:type="dxa"/>
            <w:noWrap w:val="0"/>
            <w:vAlign w:val="top"/>
          </w:tcPr>
          <w:p w14:paraId="5201BBBF">
            <w:pPr>
              <w:pStyle w:val="7"/>
              <w:widowControl w:val="0"/>
              <w:spacing w:before="0" w:beforeAutospacing="0" w:after="0" w:afterAutospacing="0" w:line="600" w:lineRule="exact"/>
              <w:jc w:val="distribute"/>
              <w:rPr>
                <w:rFonts w:ascii="黑体" w:hAnsi="宋体" w:eastAsia="黑体" w:cs="Times New Roman"/>
                <w:color w:val="000000"/>
                <w:kern w:val="2"/>
                <w:sz w:val="36"/>
                <w:szCs w:val="36"/>
              </w:rPr>
            </w:pPr>
          </w:p>
        </w:tc>
      </w:tr>
      <w:tr w14:paraId="6AB16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0" w:type="dxa"/>
            <w:noWrap w:val="0"/>
            <w:vAlign w:val="top"/>
          </w:tcPr>
          <w:p w14:paraId="4C1D5912">
            <w:pPr>
              <w:pStyle w:val="7"/>
              <w:widowControl w:val="0"/>
              <w:spacing w:before="0" w:beforeAutospacing="0" w:after="0" w:afterAutospacing="0" w:line="600" w:lineRule="exact"/>
              <w:rPr>
                <w:rFonts w:ascii="黑体" w:eastAsia="黑体"/>
                <w:color w:val="000000"/>
                <w:sz w:val="36"/>
                <w:szCs w:val="36"/>
              </w:rPr>
            </w:pPr>
            <w:r>
              <w:rPr>
                <w:rFonts w:hint="eastAsia" w:ascii="黑体" w:eastAsia="黑体"/>
                <w:color w:val="000000"/>
                <w:sz w:val="36"/>
                <w:szCs w:val="36"/>
              </w:rPr>
              <w:t>二〇</w:t>
            </w:r>
            <w:r>
              <w:rPr>
                <w:rFonts w:hint="eastAsia" w:ascii="黑体" w:eastAsia="黑体"/>
                <w:color w:val="000000"/>
                <w:sz w:val="36"/>
                <w:szCs w:val="36"/>
                <w:lang w:val="en-US" w:eastAsia="zh-CN"/>
              </w:rPr>
              <w:t>二六</w:t>
            </w:r>
            <w:r>
              <w:rPr>
                <w:rFonts w:hint="eastAsia" w:ascii="黑体" w:eastAsia="黑体"/>
                <w:color w:val="000000"/>
                <w:sz w:val="36"/>
                <w:szCs w:val="36"/>
              </w:rPr>
              <w:t>年</w:t>
            </w:r>
            <w:r>
              <w:rPr>
                <w:rFonts w:hint="eastAsia" w:ascii="黑体" w:eastAsia="黑体"/>
                <w:color w:val="000000"/>
                <w:sz w:val="36"/>
                <w:szCs w:val="36"/>
                <w:lang w:eastAsia="zh-CN"/>
              </w:rPr>
              <w:t>七月</w:t>
            </w:r>
          </w:p>
        </w:tc>
      </w:tr>
    </w:tbl>
    <w:p w14:paraId="0A195BDF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3C6DC4F9">
      <w:pPr>
        <w:spacing w:line="300" w:lineRule="auto"/>
        <w:jc w:val="center"/>
        <w:rPr>
          <w:rFonts w:ascii="黑体" w:hAnsi="Plotter" w:eastAsia="黑体"/>
          <w:b/>
          <w:color w:val="000000"/>
          <w:sz w:val="32"/>
        </w:rPr>
      </w:pPr>
    </w:p>
    <w:p w14:paraId="3DB2CE2C">
      <w:pPr>
        <w:spacing w:line="420" w:lineRule="exact"/>
        <w:rPr>
          <w:rFonts w:hint="eastAsia" w:ascii="宋体" w:hAnsi="宋体"/>
          <w:b/>
          <w:color w:val="000000"/>
          <w:sz w:val="32"/>
          <w:szCs w:val="32"/>
        </w:rPr>
      </w:pPr>
    </w:p>
    <w:p w14:paraId="33E5B67F">
      <w:pPr>
        <w:spacing w:line="420" w:lineRule="exact"/>
        <w:rPr>
          <w:rFonts w:hint="eastAsia" w:ascii="宋体" w:hAnsi="宋体"/>
          <w:b/>
          <w:color w:val="000000"/>
          <w:sz w:val="32"/>
          <w:szCs w:val="32"/>
        </w:rPr>
      </w:pPr>
    </w:p>
    <w:p w14:paraId="1D622EBF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 w14:paraId="5E7634B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 w14:paraId="0D01E87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 w14:paraId="3FEF4D12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 w14:paraId="7E04903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一、项目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内容</w:t>
      </w:r>
    </w:p>
    <w:p w14:paraId="7C0DA33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2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本项目旨在通过专业化运营服务，打通公安业务系统与财政非税收入系统、电子票据系统的互联互通。通过赋能线上线下多渠道支付（支付宝、微信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、业务办理窗口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），降低一线民警操作门槛，提升群众缴费体验，确保非税收入资金安全、准确、及时清分入库。</w:t>
      </w:r>
    </w:p>
    <w:p w14:paraId="76C490E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技术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服务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要求</w:t>
      </w:r>
    </w:p>
    <w:p w14:paraId="663BCFD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99" w:leftChars="0" w:firstLine="321" w:firstLineChars="0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000000"/>
          <w:sz w:val="32"/>
          <w:szCs w:val="32"/>
          <w:lang w:val="en-US" w:eastAsia="zh-CN"/>
        </w:rPr>
        <w:t>核心</w:t>
      </w:r>
      <w:r>
        <w:rPr>
          <w:rFonts w:hint="eastAsia" w:ascii="楷体" w:hAnsi="楷体" w:eastAsia="楷体" w:cs="楷体"/>
          <w:b/>
          <w:bCs w:val="0"/>
          <w:sz w:val="32"/>
          <w:szCs w:val="32"/>
        </w:rPr>
        <w:t>业务运营</w:t>
      </w:r>
    </w:p>
    <w:p w14:paraId="191893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b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b w:val="0"/>
          <w:sz w:val="32"/>
          <w:szCs w:val="32"/>
          <w:lang w:val="en-US" w:eastAsia="zh-CN"/>
        </w:rPr>
        <w:t>1.</w:t>
      </w:r>
      <w:r>
        <w:rPr>
          <w:rStyle w:val="6"/>
          <w:rFonts w:hint="eastAsia" w:ascii="宋体" w:hAnsi="宋体" w:eastAsia="宋体" w:cs="宋体"/>
          <w:b w:val="0"/>
          <w:sz w:val="32"/>
          <w:szCs w:val="32"/>
        </w:rPr>
        <w:t>业务指标</w:t>
      </w:r>
    </w:p>
    <w:p w14:paraId="74C962A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①年度订单量 ≥ 50,000 笔。</w:t>
      </w:r>
    </w:p>
    <w:p w14:paraId="7EBB7A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②年度资金收缴额 ≥ 260 万元。</w:t>
      </w:r>
    </w:p>
    <w:p w14:paraId="1059E30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③年度资金实收/应收比率稳步提升至 80% 以上。</w:t>
      </w:r>
    </w:p>
    <w:p w14:paraId="3B0F03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 w:firstLine="640" w:firstLineChars="200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Style w:val="6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Style w:val="6"/>
          <w:rFonts w:hint="eastAsia" w:ascii="宋体" w:hAnsi="宋体" w:eastAsia="宋体" w:cs="宋体"/>
          <w:b w:val="0"/>
          <w:bCs/>
          <w:sz w:val="32"/>
          <w:szCs w:val="32"/>
        </w:rPr>
        <w:t>客户服务</w:t>
      </w:r>
      <w:r>
        <w:rPr>
          <w:rFonts w:hint="eastAsia" w:ascii="宋体" w:hAnsi="宋体" w:eastAsia="宋体" w:cs="宋体"/>
          <w:bCs/>
          <w:sz w:val="32"/>
          <w:szCs w:val="32"/>
        </w:rPr>
        <w:t>​</w:t>
      </w:r>
    </w:p>
    <w:p w14:paraId="504E62A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Chars="100" w:right="0" w:rightChars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①设立 2 个专属客服席位，提供 </w:t>
      </w:r>
      <w:r>
        <w:rPr>
          <w:rFonts w:hint="eastAsia" w:ascii="宋体" w:hAnsi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×8 小时服务（覆盖工作日及业务高峰期）。</w:t>
      </w:r>
    </w:p>
    <w:p w14:paraId="4214367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②服务范围包括但不限于：缴费码异常处理、电子票据补打指引、支付失败排查、退款进度查询等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事项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7740A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Style w:val="6"/>
          <w:rFonts w:hint="eastAsia" w:ascii="宋体" w:hAnsi="宋体" w:cs="宋体"/>
          <w:b w:val="0"/>
          <w:bCs/>
          <w:sz w:val="32"/>
          <w:szCs w:val="32"/>
          <w:lang w:val="en-US" w:eastAsia="zh-CN"/>
        </w:rPr>
        <w:t>3</w:t>
      </w:r>
      <w:r>
        <w:rPr>
          <w:rStyle w:val="6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.</w:t>
      </w:r>
      <w:r>
        <w:rPr>
          <w:rStyle w:val="6"/>
          <w:rFonts w:hint="eastAsia" w:ascii="宋体" w:hAnsi="宋体" w:eastAsia="宋体" w:cs="宋体"/>
          <w:b w:val="0"/>
          <w:bCs/>
          <w:sz w:val="32"/>
          <w:szCs w:val="32"/>
        </w:rPr>
        <w:t>赋能支撑</w:t>
      </w:r>
      <w:r>
        <w:rPr>
          <w:rFonts w:hint="eastAsia" w:ascii="宋体" w:hAnsi="宋体" w:eastAsia="宋体" w:cs="宋体"/>
          <w:sz w:val="32"/>
          <w:szCs w:val="32"/>
        </w:rPr>
        <w:t>​</w:t>
      </w:r>
    </w:p>
    <w:p w14:paraId="130E6D5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①结合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sz w:val="32"/>
          <w:szCs w:val="32"/>
        </w:rPr>
        <w:t>快办平台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sz w:val="32"/>
          <w:szCs w:val="32"/>
        </w:rPr>
        <w:t>现场执法场景，制作简易图文及短视频操作指南，精准投送至基层执法单位。</w:t>
      </w:r>
    </w:p>
    <w:p w14:paraId="6514660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②针对新入职民警及高频出错单位，提供定制化线上线下培训。</w:t>
      </w:r>
    </w:p>
    <w:p w14:paraId="6C071FB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(二）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数据资产运营</w:t>
      </w:r>
    </w:p>
    <w:p w14:paraId="4AA17AD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Style w:val="6"/>
          <w:rFonts w:hint="eastAsia" w:ascii="宋体" w:hAnsi="宋体" w:eastAsia="宋体" w:cs="宋体"/>
          <w:b w:val="0"/>
          <w:sz w:val="32"/>
          <w:szCs w:val="32"/>
          <w:lang w:val="en-US" w:eastAsia="zh-CN"/>
        </w:rPr>
        <w:t>1.</w:t>
      </w:r>
      <w:r>
        <w:rPr>
          <w:rStyle w:val="6"/>
          <w:rFonts w:hint="eastAsia" w:ascii="宋体" w:hAnsi="宋体" w:eastAsia="宋体" w:cs="宋体"/>
          <w:b w:val="0"/>
          <w:sz w:val="32"/>
          <w:szCs w:val="32"/>
        </w:rPr>
        <w:t>决策支持</w:t>
      </w:r>
      <w:r>
        <w:rPr>
          <w:rFonts w:hint="eastAsia" w:ascii="宋体" w:hAnsi="宋体" w:eastAsia="宋体" w:cs="宋体"/>
          <w:sz w:val="32"/>
          <w:szCs w:val="32"/>
        </w:rPr>
        <w:t>：通过数据分析挖掘业务价值，形成可视化报表，为领导决策提供数据支撑。</w:t>
      </w:r>
    </w:p>
    <w:p w14:paraId="1E541CD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Style w:val="6"/>
          <w:rFonts w:hint="eastAsia" w:ascii="宋体" w:hAnsi="宋体" w:eastAsia="宋体" w:cs="宋体"/>
          <w:b w:val="0"/>
          <w:sz w:val="32"/>
          <w:szCs w:val="32"/>
        </w:rPr>
        <w:t>资金风控</w:t>
      </w:r>
      <w:r>
        <w:rPr>
          <w:rFonts w:hint="eastAsia" w:ascii="宋体" w:hAnsi="宋体" w:eastAsia="宋体" w:cs="宋体"/>
          <w:sz w:val="32"/>
          <w:szCs w:val="32"/>
        </w:rPr>
        <w:t>：建立月度异常数据清理机制，重点治理“只开票未缴费”、“重复缴款”等问题，协助财务对账，确保资金颗粒归仓。</w:t>
      </w:r>
    </w:p>
    <w:p w14:paraId="057711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1F60C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技术服务保障</w:t>
      </w:r>
    </w:p>
    <w:p w14:paraId="66BE6B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全链路监控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：</w:t>
      </w:r>
    </w:p>
    <w:p w14:paraId="17C580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①对互联网区（2台）服务器实施 7×24 小时监控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对</w:t>
      </w:r>
      <w:r>
        <w:rPr>
          <w:rFonts w:hint="eastAsia" w:ascii="宋体" w:hAnsi="宋体" w:eastAsia="宋体" w:cs="宋体"/>
          <w:sz w:val="32"/>
          <w:szCs w:val="32"/>
        </w:rPr>
        <w:t>公安内网区（7台）</w:t>
      </w:r>
      <w:r>
        <w:rPr>
          <w:rFonts w:hint="eastAsia" w:ascii="宋体" w:hAnsi="宋体" w:cs="宋体"/>
          <w:sz w:val="32"/>
          <w:szCs w:val="32"/>
          <w:lang w:val="en-US" w:eastAsia="zh-CN"/>
        </w:rPr>
        <w:t>通过系统拨测感知服务情况，并与云平台厂家同步服务器运行状况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9D4CD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②互联网区（2台）服务器接入自动化运维平台，对主机、存储、数据库进行主动预警，实现“故障前预警”。</w:t>
      </w:r>
    </w:p>
    <w:p w14:paraId="77579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业务连续性保障：</w:t>
      </w:r>
    </w:p>
    <w:p w14:paraId="436598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① 重大版本升级、重要安保活动期间，安排核心技术骨干值守。</w:t>
      </w:r>
    </w:p>
    <w:p w14:paraId="4233CC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②重点保障</w:t>
      </w:r>
      <w:r>
        <w:rPr>
          <w:rFonts w:hint="eastAsia" w:ascii="宋体" w:hAnsi="宋体" w:cs="宋体"/>
          <w:sz w:val="32"/>
          <w:szCs w:val="32"/>
          <w:lang w:eastAsia="zh-CN"/>
        </w:rPr>
        <w:t>“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快办平台”缴费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财政非税电子票线上开具</w:t>
      </w:r>
      <w:r>
        <w:rPr>
          <w:rFonts w:hint="eastAsia" w:ascii="宋体" w:hAnsi="宋体" w:eastAsia="宋体" w:cs="宋体"/>
          <w:sz w:val="32"/>
          <w:szCs w:val="32"/>
        </w:rPr>
        <w:t>等核心接口的稳定性。</w:t>
      </w:r>
    </w:p>
    <w:p w14:paraId="5BF61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考核要求</w:t>
      </w:r>
    </w:p>
    <w:tbl>
      <w:tblPr>
        <w:tblStyle w:val="4"/>
        <w:tblW w:w="861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144"/>
        <w:gridCol w:w="795"/>
        <w:gridCol w:w="2278"/>
        <w:gridCol w:w="3208"/>
      </w:tblGrid>
      <w:tr w14:paraId="35B15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89" w:type="dxa"/>
            <w:shd w:val="clear" w:color="auto" w:fill="auto"/>
            <w:noWrap/>
            <w:vAlign w:val="bottom"/>
          </w:tcPr>
          <w:p w14:paraId="56E44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14:paraId="3B97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795" w:type="dxa"/>
            <w:shd w:val="clear" w:color="auto" w:fill="auto"/>
            <w:noWrap/>
            <w:vAlign w:val="bottom"/>
          </w:tcPr>
          <w:p w14:paraId="215D0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2278" w:type="dxa"/>
            <w:shd w:val="clear" w:color="auto" w:fill="auto"/>
            <w:noWrap/>
            <w:vAlign w:val="bottom"/>
          </w:tcPr>
          <w:p w14:paraId="3C8E3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3208" w:type="dxa"/>
            <w:shd w:val="clear" w:color="auto" w:fill="auto"/>
            <w:noWrap/>
            <w:vAlign w:val="bottom"/>
          </w:tcPr>
          <w:p w14:paraId="61D9C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扣分细则</w:t>
            </w:r>
          </w:p>
        </w:tc>
      </w:tr>
      <w:tr w14:paraId="7DDF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189" w:type="dxa"/>
            <w:vMerge w:val="restart"/>
            <w:shd w:val="clear" w:color="auto" w:fill="auto"/>
            <w:vAlign w:val="center"/>
          </w:tcPr>
          <w:p w14:paraId="53EC9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业务规模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39D1F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年度订单总量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58C1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69872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≥5万笔：35分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4-5万笔：28分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3-4万笔：20分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&lt;3万笔：10分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2FE59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未按月提交分析报告，每次扣2分；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虚报数据，本项0分并追扣5分；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未配合核查，每次扣3分。</w:t>
            </w:r>
          </w:p>
        </w:tc>
      </w:tr>
      <w:tr w14:paraId="40AE0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89" w:type="dxa"/>
            <w:vMerge w:val="continue"/>
            <w:shd w:val="clear" w:color="auto" w:fill="auto"/>
            <w:vAlign w:val="center"/>
          </w:tcPr>
          <w:p w14:paraId="43B31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05B5E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年度资金收缴额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07FAB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33669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≥260万元：25分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208-260万：20分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156-208万：15分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&lt;156万：8分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073E2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未按月提交对账报告，每次扣2分；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按民警述求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异常资金追缴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相关数据记录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，每次扣4分；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发生资金数据篡改，本项0分。</w:t>
            </w:r>
          </w:p>
        </w:tc>
      </w:tr>
      <w:tr w14:paraId="1DF5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189" w:type="dxa"/>
            <w:shd w:val="clear" w:color="auto" w:fill="auto"/>
            <w:noWrap/>
            <w:vAlign w:val="center"/>
          </w:tcPr>
          <w:p w14:paraId="6F573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资金效率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5ECF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资金收缴率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3710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36709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</w:t>
            </w: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非系统原因，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平台缴费成功率≥95% 闭环处理，整体收缴率≥80%：20分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平台缴费成功率≥95% 闭环处理，整体收缴率70%-79.99%：15分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平台缴费成功率≥95% 闭环处理，整体收缴率60%-69.99%：10分</w:t>
            </w:r>
          </w:p>
          <w:p w14:paraId="5E4BD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平台缴费成功率≥95% 闭环处理，整体收缴率&lt;60%：5分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2C0D0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缴费渠道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因本系统原因导致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中断≥1小时扣5分，≥4小时本项0分；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未配合缴费引导宣传，每次扣4分；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如系统功能有升级的情况下，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未按季度迭代操作手册，每次扣3分。</w:t>
            </w:r>
          </w:p>
        </w:tc>
      </w:tr>
      <w:tr w14:paraId="5FCDB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89" w:type="dxa"/>
            <w:vMerge w:val="restart"/>
            <w:shd w:val="clear" w:color="auto" w:fill="auto"/>
            <w:vAlign w:val="center"/>
          </w:tcPr>
          <w:p w14:paraId="70DCE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运营保障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391E3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客服质量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6D95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3F112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满意度≥90%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4BBB8721"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未配2席位扣2分；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脱岗每次扣1分；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投诉2小时未响应每起扣2分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44BBA9AC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91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9" w:type="dxa"/>
            <w:vMerge w:val="continue"/>
            <w:shd w:val="clear" w:color="auto" w:fill="auto"/>
            <w:vAlign w:val="center"/>
          </w:tcPr>
          <w:p w14:paraId="16BB1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BACE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数据治理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13098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55E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非系统原因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异常数据处理率100%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5CC62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未及时进行数据清理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扣3分；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未提交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处理结果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每次扣2分。</w:t>
            </w:r>
          </w:p>
        </w:tc>
      </w:tr>
      <w:tr w14:paraId="34D2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9" w:type="dxa"/>
            <w:vMerge w:val="continue"/>
            <w:shd w:val="clear" w:color="auto" w:fill="auto"/>
            <w:vAlign w:val="center"/>
          </w:tcPr>
          <w:p w14:paraId="4A4C6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077D8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培训落实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504A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62B87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年度培训≥1场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7A496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未留存培训资料扣2分。</w:t>
            </w:r>
          </w:p>
        </w:tc>
      </w:tr>
      <w:tr w14:paraId="687F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89" w:type="dxa"/>
            <w:vMerge w:val="continue"/>
            <w:shd w:val="clear" w:color="auto" w:fill="auto"/>
            <w:vAlign w:val="center"/>
          </w:tcPr>
          <w:p w14:paraId="75D13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120C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系统稳定性</w:t>
            </w:r>
          </w:p>
        </w:tc>
        <w:tc>
          <w:tcPr>
            <w:tcW w:w="795" w:type="dxa"/>
            <w:shd w:val="clear" w:color="auto" w:fill="auto"/>
            <w:noWrap/>
            <w:vAlign w:val="center"/>
          </w:tcPr>
          <w:p w14:paraId="420C7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B6FF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无服务方责任重大故障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12B4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非紧急升级的情况下，正常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升级未提前3日报备扣3分；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紧急升级当日需报备。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故障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超时&gt;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小时扣2分；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未提交季度运维报告扣1分。</w:t>
            </w:r>
          </w:p>
        </w:tc>
      </w:tr>
    </w:tbl>
    <w:p w14:paraId="034CE6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eastAsia" w:ascii="宋体" w:hAnsi="宋体" w:eastAsia="宋体" w:cs="宋体"/>
          <w:b/>
          <w:color w:val="000000"/>
          <w:sz w:val="32"/>
          <w:szCs w:val="32"/>
          <w:lang w:eastAsia="zh-CN"/>
        </w:rPr>
      </w:pPr>
    </w:p>
    <w:p w14:paraId="5E3E58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服务期内结算规则：考核分数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&lt;75分，不支付当期服务费；75分≤考核分数&lt;85分，按80％支付当期服务费；85分≤考核分数&lt;95分，按90％支付当期服务费；考核分数≥95分，全额支付当期服务费。注：考核评分在具体实施过程中可根据实际情况进行适当修改。</w:t>
      </w:r>
    </w:p>
    <w:p w14:paraId="424D4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42172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lotter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1DC990"/>
    <w:multiLevelType w:val="singleLevel"/>
    <w:tmpl w:val="F11DC99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5CC838E"/>
    <w:multiLevelType w:val="singleLevel"/>
    <w:tmpl w:val="45CC838E"/>
    <w:lvl w:ilvl="0" w:tentative="0">
      <w:start w:val="1"/>
      <w:numFmt w:val="chineseCounting"/>
      <w:lvlText w:val="（%1)"/>
      <w:lvlJc w:val="left"/>
      <w:pPr>
        <w:tabs>
          <w:tab w:val="left" w:pos="312"/>
        </w:tabs>
        <w:ind w:left="9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34529"/>
    <w:rsid w:val="34F3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xl5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2026-07-06T02:22:00Z</dcterms:created>
  <dc:creator>prideyuan</dc:creator>
  <cp:lastModifiedBy>prideyuan</cp:lastModifiedBy>
  <dcterms:modified xsi:type="dcterms:W3CDTF">2026-07-06T02:23:18Z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F45DB3E75796430D8CDE082C0842047A_11</vt:lpwstr>
  </property>
  <property fmtid="{D5CDD505-2E9C-101B-9397-08002B2CF9AE}" pid="4" name="KSOTemplateDocerSaveRecord">
    <vt:lpwstr>eyJoZGlkIjoiYjFmY2M4YjIyNGU1YWZkMzBhNjcyMDI1YmExODA2Y2EiLCJ1c2VySWQiOiIxMTgxOTgwMjE5In0=</vt:lpwstr>
  </property>
</Properties>
</file>