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8C1D2F"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福州市公安局交通管理支队铁骑装备采购项目</w:t>
      </w:r>
    </w:p>
    <w:p w14:paraId="37797DA8">
      <w:pPr>
        <w:pStyle w:val="2"/>
        <w:numPr>
          <w:ilvl w:val="4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采购需求</w:t>
      </w:r>
      <w:bookmarkStart w:id="0" w:name="_GoBack"/>
      <w:bookmarkEnd w:id="0"/>
    </w:p>
    <w:p w14:paraId="70F38480">
      <w:pPr>
        <w:jc w:val="right"/>
      </w:pPr>
      <w:r>
        <w:rPr>
          <w:rFonts w:hint="eastAsia"/>
        </w:rPr>
        <w:t>单位：元</w:t>
      </w:r>
    </w:p>
    <w:tbl>
      <w:tblPr>
        <w:tblStyle w:val="12"/>
        <w:tblW w:w="81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3"/>
        <w:gridCol w:w="1739"/>
        <w:gridCol w:w="1418"/>
        <w:gridCol w:w="1052"/>
        <w:gridCol w:w="1001"/>
        <w:gridCol w:w="1965"/>
      </w:tblGrid>
      <w:tr w14:paraId="1F764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53" w:type="dxa"/>
            <w:vAlign w:val="center"/>
          </w:tcPr>
          <w:p w14:paraId="3797B7C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1739" w:type="dxa"/>
            <w:vAlign w:val="center"/>
          </w:tcPr>
          <w:p w14:paraId="6CEF1DD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产品名称</w:t>
            </w:r>
          </w:p>
        </w:tc>
        <w:tc>
          <w:tcPr>
            <w:tcW w:w="1418" w:type="dxa"/>
            <w:vAlign w:val="center"/>
          </w:tcPr>
          <w:p w14:paraId="11E6B3B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数量</w:t>
            </w:r>
          </w:p>
        </w:tc>
        <w:tc>
          <w:tcPr>
            <w:tcW w:w="1052" w:type="dxa"/>
            <w:vAlign w:val="center"/>
          </w:tcPr>
          <w:p w14:paraId="2A4F3D69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</w:t>
            </w:r>
          </w:p>
        </w:tc>
        <w:tc>
          <w:tcPr>
            <w:tcW w:w="1001" w:type="dxa"/>
            <w:vAlign w:val="center"/>
          </w:tcPr>
          <w:p w14:paraId="2EDCC5C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单价</w:t>
            </w:r>
          </w:p>
        </w:tc>
        <w:tc>
          <w:tcPr>
            <w:tcW w:w="1965" w:type="dxa"/>
            <w:vAlign w:val="center"/>
          </w:tcPr>
          <w:p w14:paraId="3CDAAE2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小计金额</w:t>
            </w:r>
          </w:p>
        </w:tc>
      </w:tr>
      <w:tr w14:paraId="5A70F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53" w:type="dxa"/>
            <w:vAlign w:val="center"/>
          </w:tcPr>
          <w:p w14:paraId="77DFE97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</w:t>
            </w:r>
          </w:p>
        </w:tc>
        <w:tc>
          <w:tcPr>
            <w:tcW w:w="1739" w:type="dxa"/>
            <w:vAlign w:val="center"/>
          </w:tcPr>
          <w:p w14:paraId="21C86D4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夏季骑行服</w:t>
            </w:r>
          </w:p>
        </w:tc>
        <w:tc>
          <w:tcPr>
            <w:tcW w:w="1418" w:type="dxa"/>
            <w:vAlign w:val="center"/>
          </w:tcPr>
          <w:p w14:paraId="0BECB463">
            <w:pPr>
              <w:widowControl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1256</w:t>
            </w:r>
          </w:p>
        </w:tc>
        <w:tc>
          <w:tcPr>
            <w:tcW w:w="1052" w:type="dxa"/>
            <w:vAlign w:val="center"/>
          </w:tcPr>
          <w:p w14:paraId="07679698">
            <w:pPr>
              <w:widowControl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001" w:type="dxa"/>
            <w:vAlign w:val="center"/>
          </w:tcPr>
          <w:p w14:paraId="578ADD89">
            <w:pPr>
              <w:widowControl/>
              <w:jc w:val="center"/>
              <w:textAlignment w:val="top"/>
              <w:rPr>
                <w:rFonts w:ascii="仿宋_GB2312" w:eastAsia="仿宋_GB2312"/>
                <w:sz w:val="24"/>
              </w:rPr>
            </w:pPr>
          </w:p>
        </w:tc>
        <w:tc>
          <w:tcPr>
            <w:tcW w:w="1965" w:type="dxa"/>
            <w:vAlign w:val="center"/>
          </w:tcPr>
          <w:p w14:paraId="455D427B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36640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53" w:type="dxa"/>
            <w:vAlign w:val="center"/>
          </w:tcPr>
          <w:p w14:paraId="59D5824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</w:p>
        </w:tc>
        <w:tc>
          <w:tcPr>
            <w:tcW w:w="1739" w:type="dxa"/>
            <w:vAlign w:val="center"/>
          </w:tcPr>
          <w:p w14:paraId="5B82130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冬季骑行服</w:t>
            </w:r>
          </w:p>
        </w:tc>
        <w:tc>
          <w:tcPr>
            <w:tcW w:w="1418" w:type="dxa"/>
            <w:vAlign w:val="center"/>
          </w:tcPr>
          <w:p w14:paraId="72F76232">
            <w:pPr>
              <w:widowControl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1256</w:t>
            </w:r>
          </w:p>
        </w:tc>
        <w:tc>
          <w:tcPr>
            <w:tcW w:w="1052" w:type="dxa"/>
            <w:vAlign w:val="center"/>
          </w:tcPr>
          <w:p w14:paraId="2F3F58E9">
            <w:pPr>
              <w:widowControl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001" w:type="dxa"/>
            <w:vAlign w:val="center"/>
          </w:tcPr>
          <w:p w14:paraId="68FE6CD2">
            <w:pPr>
              <w:widowControl/>
              <w:jc w:val="center"/>
              <w:textAlignment w:val="top"/>
              <w:rPr>
                <w:rFonts w:ascii="仿宋_GB2312" w:eastAsia="仿宋_GB2312"/>
                <w:sz w:val="24"/>
              </w:rPr>
            </w:pPr>
          </w:p>
        </w:tc>
        <w:tc>
          <w:tcPr>
            <w:tcW w:w="1965" w:type="dxa"/>
            <w:vAlign w:val="center"/>
          </w:tcPr>
          <w:p w14:paraId="1989A32D">
            <w:pPr>
              <w:widowControl/>
              <w:jc w:val="center"/>
              <w:textAlignment w:val="top"/>
              <w:rPr>
                <w:rFonts w:ascii="仿宋_GB2312" w:eastAsia="仿宋_GB2312"/>
                <w:sz w:val="24"/>
              </w:rPr>
            </w:pPr>
          </w:p>
        </w:tc>
      </w:tr>
      <w:tr w14:paraId="7D6B9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53" w:type="dxa"/>
            <w:vAlign w:val="center"/>
          </w:tcPr>
          <w:p w14:paraId="7510B6F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</w:t>
            </w:r>
          </w:p>
        </w:tc>
        <w:tc>
          <w:tcPr>
            <w:tcW w:w="1739" w:type="dxa"/>
            <w:vAlign w:val="center"/>
          </w:tcPr>
          <w:p w14:paraId="7C4FA04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半盔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2BD004">
            <w:pPr>
              <w:widowControl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250</w:t>
            </w:r>
          </w:p>
        </w:tc>
        <w:tc>
          <w:tcPr>
            <w:tcW w:w="1052" w:type="dxa"/>
            <w:vAlign w:val="center"/>
          </w:tcPr>
          <w:p w14:paraId="185EDB45">
            <w:pPr>
              <w:widowControl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顶</w:t>
            </w:r>
          </w:p>
        </w:tc>
        <w:tc>
          <w:tcPr>
            <w:tcW w:w="1001" w:type="dxa"/>
            <w:vAlign w:val="center"/>
          </w:tcPr>
          <w:p w14:paraId="250971F0">
            <w:pPr>
              <w:widowControl/>
              <w:jc w:val="center"/>
              <w:textAlignment w:val="top"/>
              <w:rPr>
                <w:rFonts w:ascii="仿宋_GB2312" w:eastAsia="仿宋_GB2312"/>
                <w:sz w:val="24"/>
              </w:rPr>
            </w:pPr>
          </w:p>
        </w:tc>
        <w:tc>
          <w:tcPr>
            <w:tcW w:w="1965" w:type="dxa"/>
            <w:vAlign w:val="center"/>
          </w:tcPr>
          <w:p w14:paraId="39D55DEC">
            <w:pPr>
              <w:widowControl/>
              <w:jc w:val="center"/>
              <w:textAlignment w:val="top"/>
              <w:rPr>
                <w:rFonts w:ascii="仿宋_GB2312" w:eastAsia="仿宋_GB2312"/>
                <w:sz w:val="24"/>
              </w:rPr>
            </w:pPr>
          </w:p>
        </w:tc>
      </w:tr>
      <w:tr w14:paraId="5840C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53" w:type="dxa"/>
            <w:vAlign w:val="center"/>
          </w:tcPr>
          <w:p w14:paraId="2C5C25C0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</w:t>
            </w:r>
          </w:p>
        </w:tc>
        <w:tc>
          <w:tcPr>
            <w:tcW w:w="1739" w:type="dxa"/>
            <w:vAlign w:val="center"/>
          </w:tcPr>
          <w:p w14:paraId="49B90E6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骑行便帽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1C868E">
            <w:pPr>
              <w:widowControl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1256</w:t>
            </w:r>
          </w:p>
        </w:tc>
        <w:tc>
          <w:tcPr>
            <w:tcW w:w="1052" w:type="dxa"/>
            <w:vAlign w:val="center"/>
          </w:tcPr>
          <w:p w14:paraId="604F0F10">
            <w:pPr>
              <w:widowControl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顶</w:t>
            </w:r>
          </w:p>
        </w:tc>
        <w:tc>
          <w:tcPr>
            <w:tcW w:w="1001" w:type="dxa"/>
            <w:vAlign w:val="center"/>
          </w:tcPr>
          <w:p w14:paraId="34872FF7">
            <w:pPr>
              <w:widowControl/>
              <w:jc w:val="center"/>
              <w:textAlignment w:val="top"/>
              <w:rPr>
                <w:rFonts w:ascii="仿宋_GB2312" w:eastAsia="仿宋_GB2312"/>
                <w:sz w:val="24"/>
              </w:rPr>
            </w:pPr>
          </w:p>
        </w:tc>
        <w:tc>
          <w:tcPr>
            <w:tcW w:w="1965" w:type="dxa"/>
            <w:vAlign w:val="center"/>
          </w:tcPr>
          <w:p w14:paraId="191C9103">
            <w:pPr>
              <w:widowControl/>
              <w:jc w:val="center"/>
              <w:textAlignment w:val="top"/>
              <w:rPr>
                <w:rFonts w:ascii="仿宋_GB2312" w:eastAsia="仿宋_GB2312"/>
                <w:sz w:val="24"/>
              </w:rPr>
            </w:pPr>
          </w:p>
        </w:tc>
      </w:tr>
      <w:tr w14:paraId="36D63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53" w:type="dxa"/>
            <w:vAlign w:val="center"/>
          </w:tcPr>
          <w:p w14:paraId="311658A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5</w:t>
            </w:r>
          </w:p>
        </w:tc>
        <w:tc>
          <w:tcPr>
            <w:tcW w:w="1739" w:type="dxa"/>
            <w:vAlign w:val="center"/>
          </w:tcPr>
          <w:p w14:paraId="190506F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骑行腰带</w:t>
            </w:r>
          </w:p>
        </w:tc>
        <w:tc>
          <w:tcPr>
            <w:tcW w:w="1418" w:type="dxa"/>
            <w:vAlign w:val="center"/>
          </w:tcPr>
          <w:p w14:paraId="48A59BE8">
            <w:pPr>
              <w:widowControl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1256</w:t>
            </w:r>
          </w:p>
        </w:tc>
        <w:tc>
          <w:tcPr>
            <w:tcW w:w="1052" w:type="dxa"/>
            <w:vAlign w:val="center"/>
          </w:tcPr>
          <w:p w14:paraId="0DF13961">
            <w:pPr>
              <w:widowControl/>
              <w:jc w:val="center"/>
              <w:textAlignment w:val="top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001" w:type="dxa"/>
            <w:vAlign w:val="center"/>
          </w:tcPr>
          <w:p w14:paraId="5532A2F9">
            <w:pPr>
              <w:widowControl/>
              <w:jc w:val="center"/>
              <w:textAlignment w:val="top"/>
              <w:rPr>
                <w:rFonts w:ascii="仿宋_GB2312" w:eastAsia="仿宋_GB2312"/>
                <w:sz w:val="24"/>
              </w:rPr>
            </w:pPr>
          </w:p>
        </w:tc>
        <w:tc>
          <w:tcPr>
            <w:tcW w:w="1965" w:type="dxa"/>
            <w:vAlign w:val="center"/>
          </w:tcPr>
          <w:p w14:paraId="42CE62D6">
            <w:pPr>
              <w:widowControl/>
              <w:jc w:val="center"/>
              <w:textAlignment w:val="top"/>
              <w:rPr>
                <w:rFonts w:ascii="仿宋_GB2312" w:eastAsia="仿宋_GB2312"/>
                <w:sz w:val="24"/>
              </w:rPr>
            </w:pPr>
          </w:p>
        </w:tc>
      </w:tr>
      <w:tr w14:paraId="1B54E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163" w:type="dxa"/>
            <w:gridSpan w:val="5"/>
            <w:vAlign w:val="center"/>
          </w:tcPr>
          <w:p w14:paraId="2F18BED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合计</w:t>
            </w:r>
          </w:p>
        </w:tc>
        <w:tc>
          <w:tcPr>
            <w:tcW w:w="1965" w:type="dxa"/>
            <w:vAlign w:val="center"/>
          </w:tcPr>
          <w:p w14:paraId="014386B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14:paraId="521CB11C">
      <w:pPr>
        <w:pStyle w:val="2"/>
        <w:numPr>
          <w:ilvl w:val="4"/>
          <w:numId w:val="0"/>
        </w:numPr>
        <w:jc w:val="center"/>
      </w:pPr>
      <w:r>
        <w:rPr>
          <w:rFonts w:hint="eastAsia"/>
        </w:rPr>
        <w:t>产品技术参数</w:t>
      </w:r>
    </w:p>
    <w:tbl>
      <w:tblPr>
        <w:tblStyle w:val="11"/>
        <w:tblW w:w="5363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1612"/>
        <w:gridCol w:w="7754"/>
      </w:tblGrid>
      <w:tr w14:paraId="6D15B6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9225A0"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79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B73EB1"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品名</w:t>
            </w:r>
          </w:p>
        </w:tc>
        <w:tc>
          <w:tcPr>
            <w:tcW w:w="379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CBDEDC">
            <w:pPr>
              <w:widowControl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技术要求</w:t>
            </w:r>
          </w:p>
        </w:tc>
      </w:tr>
      <w:tr w14:paraId="3295AC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2C254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7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4C24D6">
            <w:pPr>
              <w:widowControl/>
              <w:jc w:val="left"/>
            </w:pPr>
            <w:r>
              <w:rPr>
                <w:rFonts w:hint="eastAsia"/>
              </w:rPr>
              <w:t>骑行服夏款上衣、裤子</w:t>
            </w:r>
          </w:p>
          <w:p w14:paraId="08E9C850">
            <w:pPr>
              <w:pStyle w:val="3"/>
              <w:jc w:val="left"/>
              <w:rPr>
                <w:rFonts w:ascii="Calibri" w:eastAsia="Calibri"/>
                <w:kern w:val="2"/>
                <w:sz w:val="21"/>
                <w:szCs w:val="24"/>
              </w:rPr>
            </w:pPr>
          </w:p>
        </w:tc>
        <w:tc>
          <w:tcPr>
            <w:tcW w:w="37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5A4418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b/>
                <w:bCs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bidi="ar-SA"/>
              </w:rPr>
              <w:t>1、骑行夏装（上衣）</w:t>
            </w:r>
          </w:p>
          <w:p w14:paraId="0CDAD247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（1）★理化性能符合 GB/T24278-2019《摩托车手防护服装》要求；</w:t>
            </w: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br w:type="textWrapping"/>
            </w: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（2）上衣主面料：荧光黄色透气网眼涤纶；</w:t>
            </w:r>
          </w:p>
          <w:p w14:paraId="0E9E15AC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（3）上衣主辅料：黑色网眼尼龙；</w:t>
            </w:r>
          </w:p>
          <w:p w14:paraId="4E3E9060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（4）其他辅料：袖口、领口、下摆等位置，面积较小的织物，应与面料相适应，并具备一定强度和舒适性；</w:t>
            </w:r>
          </w:p>
          <w:p w14:paraId="4E7DAD64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（5）上衣反光条：具备逆反射功能的高可视警示性反光条。服装的前胸、后背、袖口位置缝制银色反光条；</w:t>
            </w:r>
          </w:p>
          <w:p w14:paraId="0CB22F39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（6）上衣双侧肩部放置肩绊，肩绊尺寸为 14cm x 4.8cm，用来安装警用肩章；</w:t>
            </w:r>
          </w:p>
          <w:p w14:paraId="418358A2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（7）胸贴、背贴印有“福州铁骑”字样；</w:t>
            </w:r>
          </w:p>
          <w:p w14:paraId="5198396E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（8）上衣双侧腰部和袖口做松紧可调节设计，下摆和袖口处用魔术贴固定；</w:t>
            </w:r>
          </w:p>
          <w:p w14:paraId="08CF8BA1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（9）产品不含甲醛、无芳香胺染料、无异味。</w:t>
            </w:r>
          </w:p>
          <w:p w14:paraId="759F6684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（10）★断裂强力：方向1≥1100N；方向2≥1500N；</w:t>
            </w:r>
          </w:p>
          <w:p w14:paraId="5C309F48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（11）★耐磨性能：≥10万次；</w:t>
            </w:r>
          </w:p>
          <w:p w14:paraId="6C207AB9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（12）★</w:t>
            </w:r>
            <w:r>
              <w:rPr>
                <w:rFonts w:hint="eastAsia" w:ascii="宋体" w:hAnsi="宋体" w:eastAsia="宋体" w:cs="宋体"/>
                <w:szCs w:val="21"/>
                <w:lang w:val="en-US" w:eastAsia="zh-CN" w:bidi="ar-SA"/>
              </w:rPr>
              <w:t>耐磨</w:t>
            </w: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擦色牢度：干摩≥4级；湿摩≥4级；</w:t>
            </w:r>
          </w:p>
          <w:p w14:paraId="46113245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（13）★接缝强力：≥400N;</w:t>
            </w:r>
          </w:p>
          <w:p w14:paraId="5D41C36A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（14）★起毛起球：≥4级；</w:t>
            </w:r>
          </w:p>
          <w:p w14:paraId="7C435CC2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b/>
                <w:bCs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bidi="ar-SA"/>
              </w:rPr>
              <w:t>2、骑行夏装（裤子）</w:t>
            </w:r>
          </w:p>
          <w:p w14:paraId="095C81DF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（1）★理化性能符合 GB/T24278-2019《摩托车手防护服装》要求；</w:t>
            </w:r>
          </w:p>
          <w:p w14:paraId="4B1598E3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（2）裤子主面料：使用弹力耐磨面料；</w:t>
            </w:r>
          </w:p>
          <w:p w14:paraId="2F0169C4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（3）裤子护具：裤子的膝部、胯部需安置护具；</w:t>
            </w:r>
          </w:p>
          <w:p w14:paraId="549E4119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（4）裤子的版型：小脚口马裤样式。</w:t>
            </w:r>
          </w:p>
          <w:p w14:paraId="0A8EFA84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（5）产品不含甲醛、无芳香胺染料、无异味；</w:t>
            </w:r>
          </w:p>
          <w:p w14:paraId="01961354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（6）★</w:t>
            </w:r>
            <w:r>
              <w:rPr>
                <w:rFonts w:hint="eastAsia" w:ascii="宋体" w:hAnsi="宋体" w:eastAsia="宋体" w:cs="宋体"/>
                <w:szCs w:val="21"/>
                <w:lang w:val="en-US" w:eastAsia="zh-CN" w:bidi="ar-SA"/>
              </w:rPr>
              <w:t>耐磨</w:t>
            </w: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擦色牢度：干摩≥4级；湿摩≥4级；</w:t>
            </w:r>
          </w:p>
          <w:p w14:paraId="48AEA23B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（7）★断裂强力：方向1≥700N；方向2≥1500N；</w:t>
            </w:r>
          </w:p>
          <w:p w14:paraId="2F956309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（8）★PH值6.0-8.0；</w:t>
            </w:r>
          </w:p>
          <w:p w14:paraId="7E09442F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（9）★起毛起球：≥4级；</w:t>
            </w:r>
          </w:p>
          <w:p w14:paraId="0522B48F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（10）★后裆缝接缝强力：≥380N;</w:t>
            </w:r>
          </w:p>
          <w:p w14:paraId="3D01193C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3、★洗涤后尺寸变化率：领大：≥-2.0%；胸围：≥-2.0%；衣长：≥-2.0%；</w:t>
            </w:r>
          </w:p>
          <w:p w14:paraId="5BDBD1FD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腰围：≥-2.0%；裤长：≥-2.0%</w:t>
            </w:r>
          </w:p>
          <w:p w14:paraId="41CF3FC8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4、★反光材料级别：≥3级</w:t>
            </w:r>
          </w:p>
          <w:p w14:paraId="0DDD24F0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5、★合身性与人体工效学：符合GB/T 24278-2019《摩托车手防护服装》附录E规定的穿着测试要求。</w:t>
            </w:r>
          </w:p>
          <w:p w14:paraId="5D057DEC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</w:p>
          <w:p w14:paraId="6FF60D20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</w:p>
          <w:p w14:paraId="73ACF913"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drawing>
                <wp:inline distT="0" distB="0" distL="114300" distR="114300">
                  <wp:extent cx="1546860" cy="1546860"/>
                  <wp:effectExtent l="0" t="0" r="15240" b="15240"/>
                  <wp:docPr id="20" name="图片 20" descr="夏季骑行服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夏季骑行服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860" cy="1546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B1FD5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D03C1D">
            <w:pPr>
              <w:widowControl/>
              <w:jc w:val="center"/>
              <w:rPr>
                <w:rFonts w:ascii="宋体" w:hAnsi="宋体" w:eastAsia="Calibri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7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CF71C1">
            <w:pPr>
              <w:widowControl/>
              <w:jc w:val="left"/>
            </w:pPr>
            <w:r>
              <w:rPr>
                <w:rFonts w:hint="eastAsia"/>
              </w:rPr>
              <w:t>骑行服冬款上衣、裤子</w:t>
            </w:r>
          </w:p>
          <w:p w14:paraId="19CC82BC">
            <w:pPr>
              <w:pStyle w:val="3"/>
              <w:jc w:val="left"/>
            </w:pPr>
          </w:p>
        </w:tc>
        <w:tc>
          <w:tcPr>
            <w:tcW w:w="37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99A84B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b/>
                <w:bCs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bidi="ar-SA"/>
              </w:rPr>
              <w:t>1. 骑行冬装（上衣）</w:t>
            </w:r>
          </w:p>
          <w:p w14:paraId="057177E5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（1）★理化性能符合 GB/T24278-2019《摩托车手防护服装》要求；</w:t>
            </w:r>
          </w:p>
          <w:p w14:paraId="3F023565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（2）上衣主面料：荧光黄色牛津布；</w:t>
            </w:r>
          </w:p>
          <w:p w14:paraId="10FC3572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（3）上衣主辅料：黑色牛津布；</w:t>
            </w:r>
          </w:p>
          <w:p w14:paraId="3D4848D3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（4）其他辅料：袖口、领口、下摆等位置，面积较小的织物，应与面料相适应，并具备一定强度和舒适性；</w:t>
            </w:r>
          </w:p>
          <w:p w14:paraId="0A5653EC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（5）上衣反光条：具备逆反射功能的高可视警示性反光条。服装的前胸、后背、袖口、位置缝制银色反光条；</w:t>
            </w:r>
          </w:p>
          <w:p w14:paraId="094BD3A7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（6）上衣双侧肩部放置肩绊，肩绊尺寸为 14cm x 4.8cm，用来安装警用肩章；</w:t>
            </w:r>
          </w:p>
          <w:p w14:paraId="700C29A5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（7）胸贴、背贴印有“福州铁骑”字样；</w:t>
            </w:r>
          </w:p>
          <w:p w14:paraId="72A78C7A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（8）产品不含甲醛、无芳香胺染料、无异味。</w:t>
            </w:r>
          </w:p>
          <w:p w14:paraId="264552B7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（9）耐光色牢度：≥3级</w:t>
            </w:r>
          </w:p>
          <w:p w14:paraId="7F228638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（10）撕破强力：经向≥190N，纬向≥180N；</w:t>
            </w:r>
          </w:p>
          <w:p w14:paraId="1AD53D4F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（11）PH值6.0-8.0；</w:t>
            </w:r>
          </w:p>
          <w:p w14:paraId="7AB773F1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（12）★断裂强力：方向1≥2200N，方向2≥2000N；</w:t>
            </w:r>
          </w:p>
          <w:p w14:paraId="42C6F364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（13）★主面料耐磨性：耐磨性≥100000次；</w:t>
            </w:r>
          </w:p>
          <w:p w14:paraId="0AB50FAC">
            <w:pPr>
              <w:pStyle w:val="17"/>
              <w:spacing w:before="82"/>
              <w:ind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（14）★起毛起球：≥4级；</w:t>
            </w:r>
          </w:p>
          <w:p w14:paraId="737DC7A6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（15）★</w:t>
            </w:r>
            <w:r>
              <w:rPr>
                <w:rFonts w:hint="eastAsia" w:ascii="宋体" w:hAnsi="宋体" w:eastAsia="宋体" w:cs="宋体"/>
                <w:szCs w:val="21"/>
                <w:lang w:val="en-US" w:eastAsia="zh-CN" w:bidi="ar-SA"/>
              </w:rPr>
              <w:t>耐磨</w:t>
            </w: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擦色牢度：干摩≥4级，湿摩≥4级</w:t>
            </w:r>
          </w:p>
          <w:p w14:paraId="62CB82C4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（16）★接缝强力（N）：袖窿缝≥450，过肩缝≥470；</w:t>
            </w:r>
          </w:p>
          <w:p w14:paraId="7C79EF1D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b/>
                <w:bCs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bidi="ar-SA"/>
              </w:rPr>
              <w:t>2、骑行冬装（裤子）；</w:t>
            </w:r>
          </w:p>
          <w:p w14:paraId="2E2C908C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（1）裤子主面料：使用弹力耐磨面料；</w:t>
            </w:r>
          </w:p>
          <w:p w14:paraId="79CE6A1F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（2）裤子的版型：小脚口马裤样式。</w:t>
            </w:r>
          </w:p>
          <w:p w14:paraId="4363461E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（3）产品不含甲醛、无芳香胺染料、无异味；</w:t>
            </w:r>
          </w:p>
          <w:p w14:paraId="5997AA71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（4）★理化性能符合 GB/T24278-2019《摩托车手防护服装》要求；</w:t>
            </w:r>
          </w:p>
          <w:p w14:paraId="130D6BD9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（5）</w:t>
            </w:r>
            <w:r>
              <w:rPr>
                <w:rFonts w:hint="eastAsia" w:ascii="宋体" w:hAnsi="宋体" w:eastAsia="宋体" w:cs="宋体"/>
                <w:szCs w:val="21"/>
                <w:lang w:val="en-US" w:eastAsia="zh-CN" w:bidi="ar-SA"/>
              </w:rPr>
              <w:t>耐磨</w:t>
            </w: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擦色牢度：干摩≥4级，湿摩≥4级；</w:t>
            </w:r>
          </w:p>
          <w:p w14:paraId="7EAADFFC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（6）PH值6.0-8.0；</w:t>
            </w:r>
          </w:p>
          <w:p w14:paraId="6F00C6CA">
            <w:pPr>
              <w:pStyle w:val="17"/>
              <w:tabs>
                <w:tab w:val="left" w:pos="5006"/>
              </w:tabs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（7）★断裂强力：方向1≥800N，方向2≥780N</w:t>
            </w: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ab/>
            </w:r>
          </w:p>
          <w:p w14:paraId="5DE9F63E">
            <w:pPr>
              <w:pStyle w:val="17"/>
              <w:tabs>
                <w:tab w:val="left" w:pos="5006"/>
              </w:tabs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（8）★起毛起球：≥4级；</w:t>
            </w:r>
          </w:p>
          <w:p w14:paraId="5A800B8F">
            <w:pPr>
              <w:pStyle w:val="17"/>
              <w:tabs>
                <w:tab w:val="left" w:pos="5006"/>
              </w:tabs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（9）★裤后裆缝接缝强力：≥480N；</w:t>
            </w:r>
          </w:p>
          <w:p w14:paraId="634F115A">
            <w:pPr>
              <w:pStyle w:val="17"/>
              <w:tabs>
                <w:tab w:val="left" w:pos="5006"/>
              </w:tabs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3、★洗涤后尺寸变化率：领大：≥-2.0%；胸围：≥-2.0%；衣长：≥-2.0%；腰围：≥-2.0%；裤长：≥-2.0%</w:t>
            </w:r>
          </w:p>
          <w:p w14:paraId="65280DE9">
            <w:pPr>
              <w:pStyle w:val="17"/>
              <w:tabs>
                <w:tab w:val="left" w:pos="5006"/>
              </w:tabs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4、★反光材料级别：≥3级</w:t>
            </w:r>
          </w:p>
          <w:p w14:paraId="31F88795">
            <w:pPr>
              <w:pStyle w:val="17"/>
              <w:tabs>
                <w:tab w:val="left" w:pos="5006"/>
              </w:tabs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5、★合身性与人体工效学：符合GB/T 24278-2019《摩托车手防护服装》附录E规定的穿着测试要求。</w:t>
            </w:r>
          </w:p>
          <w:p w14:paraId="76B7B9E9">
            <w:pPr>
              <w:pStyle w:val="17"/>
              <w:tabs>
                <w:tab w:val="left" w:pos="5006"/>
              </w:tabs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/>
              </w:rPr>
            </w:pPr>
          </w:p>
          <w:p w14:paraId="36A7B8EE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color w:val="000000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drawing>
                <wp:inline distT="0" distB="0" distL="114300" distR="114300">
                  <wp:extent cx="1440180" cy="1449705"/>
                  <wp:effectExtent l="0" t="0" r="7620" b="17145"/>
                  <wp:docPr id="8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180" cy="144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A16FB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4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0D08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7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9AE734">
            <w:pPr>
              <w:pStyle w:val="3"/>
              <w:jc w:val="center"/>
              <w:rPr>
                <w:rFonts w:ascii="Calibri" w:eastAsia="Calibri"/>
                <w:kern w:val="2"/>
                <w:sz w:val="21"/>
                <w:szCs w:val="24"/>
              </w:rPr>
            </w:pPr>
            <w:r>
              <w:rPr>
                <w:rFonts w:hint="eastAsia" w:ascii="Calibri" w:eastAsia="Calibri"/>
                <w:kern w:val="2"/>
                <w:sz w:val="21"/>
                <w:szCs w:val="24"/>
              </w:rPr>
              <w:t>警用骑行夏头盔</w:t>
            </w:r>
          </w:p>
          <w:p w14:paraId="7667D4BB">
            <w:pPr>
              <w:pStyle w:val="3"/>
              <w:jc w:val="center"/>
              <w:rPr>
                <w:rFonts w:ascii="Calibri" w:eastAsia="Calibri"/>
                <w:kern w:val="2"/>
                <w:sz w:val="21"/>
                <w:szCs w:val="24"/>
              </w:rPr>
            </w:pPr>
            <w:r>
              <w:rPr>
                <w:rFonts w:hint="eastAsia" w:ascii="Calibri" w:eastAsia="Calibri"/>
                <w:kern w:val="2"/>
                <w:sz w:val="21"/>
                <w:szCs w:val="24"/>
              </w:rPr>
              <w:t>（半盔）</w:t>
            </w:r>
          </w:p>
          <w:p w14:paraId="315CAC34">
            <w:pPr>
              <w:pStyle w:val="3"/>
              <w:jc w:val="center"/>
              <w:rPr>
                <w:rFonts w:ascii="Calibri" w:eastAsia="Calibri"/>
                <w:kern w:val="2"/>
                <w:sz w:val="21"/>
                <w:szCs w:val="24"/>
              </w:rPr>
            </w:pPr>
          </w:p>
        </w:tc>
        <w:tc>
          <w:tcPr>
            <w:tcW w:w="37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588DF5">
            <w:pPr>
              <w:pStyle w:val="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★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符合《</w:t>
            </w:r>
            <w:r>
              <w:fldChar w:fldCharType="begin"/>
            </w:r>
            <w:r>
              <w:instrText xml:space="preserve"> HYPERLINK "http://www.baidu.com/link?url=Ea6blARHw3OzANCGA0dOlpFigvZFeuAm0sh11PrBmJ-OG3kVRBfa9A7FvGh8CNTCvnfMTDKDhGdso5OhOuXLx8eMmTwmSIW0EdaA2KEIb9q" \t "_blank" </w:instrText>
            </w:r>
            <w:r>
              <w:fldChar w:fldCharType="separate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GB811-2022 摩托车、电动自行车乘员头盔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fldChar w:fldCharType="end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》A类头盔要求；主要适用在夏、春秋季摩托车骑行场景使用。</w:t>
            </w:r>
          </w:p>
          <w:p w14:paraId="0DDD289E">
            <w:pPr>
              <w:pStyle w:val="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头盔类型：A2类型头盔，插口式系紧装置。 </w:t>
            </w:r>
          </w:p>
          <w:p w14:paraId="594DBA68">
            <w:pPr>
              <w:pStyle w:val="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产品特点：（1）头盔壳体采用ABS材料，具有抗高冲击，抗穿透性。</w:t>
            </w:r>
          </w:p>
          <w:p w14:paraId="316F8801">
            <w:pPr>
              <w:pStyle w:val="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（2）UV喷漆，光泽耐磨。</w:t>
            </w:r>
          </w:p>
          <w:p w14:paraId="0BB189F9">
            <w:pPr>
              <w:pStyle w:val="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（3）缓冲层采用高密度泡沫。</w:t>
            </w:r>
          </w:p>
          <w:p w14:paraId="10916E09">
            <w:pPr>
              <w:pStyle w:val="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（4）可拆洗内衬，方便佩戴着随时拆卸清洗。</w:t>
            </w:r>
          </w:p>
          <w:p w14:paraId="130343AB">
            <w:pPr>
              <w:pStyle w:val="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（5）内部结构构造合理，干燥抗菌防臭吸汗。</w:t>
            </w:r>
          </w:p>
          <w:p w14:paraId="697F3EF9">
            <w:pPr>
              <w:pStyle w:val="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（6）降噪通风口，透气并尽可能降低风声。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（7）安全查扣，能保证在飞速行驶中受到撞击后不松开。</w:t>
            </w:r>
          </w:p>
          <w:p w14:paraId="3111D379">
            <w:pPr>
              <w:pStyle w:val="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材质：ABS 709工程塑料</w:t>
            </w:r>
          </w:p>
          <w:p w14:paraId="15743AFC">
            <w:pPr>
              <w:pStyle w:val="3"/>
              <w:numPr>
                <w:ilvl w:val="0"/>
                <w:numId w:val="2"/>
              </w:num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头盔外壳材料：抗冲击优质ABS注塑成型；</w:t>
            </w:r>
          </w:p>
          <w:p w14:paraId="2E061F67">
            <w:pPr>
              <w:pStyle w:val="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（2）面罩、护目镜：2MM防划伤聚碳酸酯材料注塑成型；护目镜防UV；</w:t>
            </w:r>
          </w:p>
          <w:p w14:paraId="73AF8D68">
            <w:pPr>
              <w:pStyle w:val="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（3）吸收碰撞层：高密度EPS；</w:t>
            </w:r>
          </w:p>
          <w:p w14:paraId="41E240CD">
            <w:pPr>
              <w:pStyle w:val="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（4） 佩戴系统：双层22MM宽尼龙下巴颏带，快速释放插扣，10MM涤棉帽顶；佩戴后施加2KN拉伸，插扣无断裂或松脱，并可继续使用；</w:t>
            </w:r>
          </w:p>
          <w:p w14:paraId="50EE9126">
            <w:pPr>
              <w:pStyle w:val="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（5）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★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质量：≤1.35kg ；</w:t>
            </w:r>
          </w:p>
          <w:p w14:paraId="76951FFF">
            <w:pPr>
              <w:pStyle w:val="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（6）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★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视野：左、右水平视野＞105°，上视野＞7°，下视野＞45°； </w:t>
            </w:r>
          </w:p>
          <w:p w14:paraId="225A958C">
            <w:pPr>
              <w:pStyle w:val="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（7）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★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护目镜可见光透过率：≥91%，雾度≤7.0% ；</w:t>
            </w:r>
          </w:p>
          <w:p w14:paraId="1D793C43">
            <w:pPr>
              <w:pStyle w:val="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（8）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★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刚度：在630N的作用下，沿试验轴的形变量与初始载荷30N的形变量相差≤22mm，卸载恢复载荷为30N时，所测得的形变量与初始载荷30N的形变量相差≤4mm ；</w:t>
            </w:r>
          </w:p>
          <w:p w14:paraId="50274F65">
            <w:pPr>
              <w:pStyle w:val="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（9）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★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吸收碰撞能量：头盔应符合下列要求</w:t>
            </w:r>
          </w:p>
          <w:p w14:paraId="14198140">
            <w:pPr>
              <w:pStyle w:val="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加速度峰值≤300g、加速度超过150g的作用时间≤4ms、试验完成后，壳体无明显的碎片脱落（容易脱落的部件除外）。 </w:t>
            </w:r>
          </w:p>
          <w:p w14:paraId="5B49E381">
            <w:pPr>
              <w:pStyle w:val="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（10）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★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耐穿透：钢锥不应穿透头盔与头型产生接触。 </w:t>
            </w:r>
          </w:p>
          <w:p w14:paraId="4D4AC151">
            <w:pPr>
              <w:pStyle w:val="2"/>
              <w:numPr>
                <w:ilvl w:val="4"/>
                <w:numId w:val="0"/>
              </w:numPr>
              <w:spacing w:line="240" w:lineRule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drawing>
                <wp:inline distT="0" distB="0" distL="114300" distR="114300">
                  <wp:extent cx="1793875" cy="1793875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3875" cy="179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903B8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0" w:hRule="atLeast"/>
          <w:jc w:val="center"/>
        </w:trPr>
        <w:tc>
          <w:tcPr>
            <w:tcW w:w="4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FB3FF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7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DFB1A2">
            <w:pPr>
              <w:pStyle w:val="3"/>
              <w:jc w:val="center"/>
              <w:rPr>
                <w:rFonts w:ascii="Calibri" w:eastAsia="Calibri"/>
                <w:kern w:val="2"/>
                <w:sz w:val="21"/>
                <w:szCs w:val="24"/>
              </w:rPr>
            </w:pPr>
            <w:r>
              <w:rPr>
                <w:rFonts w:hint="eastAsia" w:ascii="Calibri" w:eastAsia="Calibri"/>
                <w:kern w:val="2"/>
                <w:sz w:val="21"/>
                <w:szCs w:val="24"/>
              </w:rPr>
              <w:t>多功能腰带</w:t>
            </w:r>
          </w:p>
          <w:p w14:paraId="566BF489">
            <w:pPr>
              <w:pStyle w:val="3"/>
              <w:jc w:val="center"/>
              <w:rPr>
                <w:rFonts w:ascii="Calibri" w:eastAsia="Calibri"/>
                <w:kern w:val="2"/>
                <w:sz w:val="21"/>
                <w:szCs w:val="24"/>
              </w:rPr>
            </w:pPr>
          </w:p>
        </w:tc>
        <w:tc>
          <w:tcPr>
            <w:tcW w:w="37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EB956B">
            <w:pPr>
              <w:numPr>
                <w:ilvl w:val="0"/>
                <w:numId w:val="3"/>
              </w:num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黑色软质，尼龙编织，可调节长度，锁扣可左右调节、锁定腰带。</w:t>
            </w:r>
          </w:p>
          <w:p w14:paraId="6D11729E">
            <w:pPr>
              <w:numPr>
                <w:ilvl w:val="0"/>
                <w:numId w:val="3"/>
              </w:num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甲醛含量：未检出</w:t>
            </w:r>
          </w:p>
          <w:p w14:paraId="69AB54B3">
            <w:pPr>
              <w:numPr>
                <w:ilvl w:val="0"/>
                <w:numId w:val="3"/>
              </w:num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PH值：6.0-8.0</w:t>
            </w:r>
          </w:p>
          <w:p w14:paraId="1ED34585">
            <w:pPr>
              <w:numPr>
                <w:ilvl w:val="0"/>
                <w:numId w:val="3"/>
              </w:num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耐水色牢度：变色：≥4级，沾色：聚酯纤维布：≥4级，棉布：≥4级</w:t>
            </w:r>
          </w:p>
          <w:p w14:paraId="51A03D84">
            <w:pPr>
              <w:numPr>
                <w:ilvl w:val="0"/>
                <w:numId w:val="3"/>
              </w:num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耐酸汗渍色牢度：变色：≥4级，沾色：聚酯纤维布：≥4级，棉布：≥4级</w:t>
            </w:r>
          </w:p>
          <w:p w14:paraId="5108C746">
            <w:pPr>
              <w:numPr>
                <w:ilvl w:val="0"/>
                <w:numId w:val="3"/>
              </w:num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耐碱汗渍色牢度：变色：≥4级，沾色：聚酯纤维布：≥4级，棉布：≥4级</w:t>
            </w:r>
          </w:p>
          <w:p w14:paraId="31CC755F">
            <w:pPr>
              <w:numPr>
                <w:ilvl w:val="0"/>
                <w:numId w:val="3"/>
              </w:num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耐干摩擦色牢度：沾色：≥4级</w:t>
            </w:r>
          </w:p>
          <w:p w14:paraId="0E88949C">
            <w:pPr>
              <w:numPr>
                <w:ilvl w:val="0"/>
                <w:numId w:val="3"/>
              </w:num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耐湿摩擦色牢度：沾色：≥4级</w:t>
            </w:r>
          </w:p>
          <w:p w14:paraId="3409D3EF">
            <w:pPr>
              <w:numPr>
                <w:ilvl w:val="0"/>
                <w:numId w:val="3"/>
              </w:num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耐光色牢度：≥4级</w:t>
            </w:r>
          </w:p>
          <w:p w14:paraId="5EB9FC71">
            <w:pPr>
              <w:numPr>
                <w:ilvl w:val="0"/>
                <w:numId w:val="3"/>
              </w:num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起球：≥4级</w:t>
            </w:r>
          </w:p>
          <w:p w14:paraId="4BE9CD50">
            <w:pPr>
              <w:numPr>
                <w:ilvl w:val="0"/>
                <w:numId w:val="3"/>
              </w:num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带扣与带体结合力：≥1100N</w:t>
            </w:r>
          </w:p>
          <w:p w14:paraId="0EDF493D">
            <w:pPr>
              <w:numPr>
                <w:ilvl w:val="0"/>
                <w:numId w:val="3"/>
              </w:num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带体断裂力：≥6000N</w:t>
            </w:r>
          </w:p>
          <w:p w14:paraId="14014B71">
            <w:pPr>
              <w:numPr>
                <w:ilvl w:val="0"/>
                <w:numId w:val="3"/>
              </w:num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插扣结合力：≥700N</w:t>
            </w:r>
          </w:p>
          <w:p w14:paraId="25E8355D">
            <w:pPr>
              <w:numPr>
                <w:ilvl w:val="0"/>
                <w:numId w:val="3"/>
              </w:num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可分解致癌芳香胺染料：未检出</w:t>
            </w:r>
          </w:p>
          <w:p w14:paraId="32AE7196">
            <w:pPr>
              <w:widowControl/>
              <w:overflowPunct w:val="0"/>
              <w:autoSpaceDE w:val="0"/>
              <w:autoSpaceDN w:val="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drawing>
                <wp:inline distT="0" distB="0" distL="114300" distR="114300">
                  <wp:extent cx="1826895" cy="1312545"/>
                  <wp:effectExtent l="0" t="0" r="1905" b="1905"/>
                  <wp:docPr id="14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6895" cy="1312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1CE78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4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D079C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7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133F75">
            <w:pPr>
              <w:pStyle w:val="3"/>
              <w:jc w:val="center"/>
              <w:rPr>
                <w:rFonts w:asciiTheme="minorHAnsi" w:hAnsiTheme="minorHAnsi" w:eastAsiaTheme="minorEastAsia" w:cstheme="minorBidi"/>
                <w:kern w:val="2"/>
                <w:sz w:val="22"/>
                <w:szCs w:val="28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2"/>
                <w:szCs w:val="28"/>
              </w:rPr>
              <w:t>铁骑警便帽</w:t>
            </w:r>
          </w:p>
        </w:tc>
        <w:tc>
          <w:tcPr>
            <w:tcW w:w="37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396991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1.帽子主面料：采用藏青色防水高透气面料。帽型为棒球帽式外观，贴合头部，轻便易折叠，无痕面料，高耐磨、高透气性，反光条包围，美观大方。</w:t>
            </w:r>
          </w:p>
          <w:p w14:paraId="2FB1A3CD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2.帽墙镶拼尼龙网眼布起到透气效果。</w:t>
            </w:r>
          </w:p>
          <w:p w14:paraId="20ADFD3D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3.帽口条为吸汗棉布包裹，能起到吸汗作用。</w:t>
            </w:r>
          </w:p>
          <w:p w14:paraId="6D2CA5D3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4.帽墙下侧缝制星点尼龙反光织带。反光织带中央缝制银色反光布上丝印LOGO字体。反光效果增加夜间安全。</w:t>
            </w:r>
          </w:p>
          <w:p w14:paraId="2E3F9BC6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5.帽子正中使用银灰色刺绣警徽。</w:t>
            </w:r>
          </w:p>
          <w:p w14:paraId="13D26C59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6.帽子后方有可调节头围尺寸的调节扣。</w:t>
            </w:r>
          </w:p>
          <w:p w14:paraId="699DB8FA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7.甲醛含量：未检出</w:t>
            </w:r>
          </w:p>
          <w:p w14:paraId="2A3803ED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8.纤维含量：聚酯纤维:80%-85%,粘纤：15%-20%（含胶、</w:t>
            </w:r>
            <w:r>
              <w:rPr>
                <w:rFonts w:hint="eastAsia" w:ascii="宋体" w:hAnsi="宋体" w:eastAsia="宋体" w:cs="宋体"/>
                <w:szCs w:val="21"/>
                <w:lang w:val="en-US" w:eastAsia="zh-CN" w:bidi="ar-SA"/>
              </w:rPr>
              <w:t>黏合</w:t>
            </w: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衬除外）</w:t>
            </w:r>
          </w:p>
          <w:p w14:paraId="03DC741B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9.PH值：6.0-7.0</w:t>
            </w:r>
          </w:p>
          <w:p w14:paraId="20DCA7D2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10.耐水色牢度：变色：≥4级，沾色：聚酯纤维布：≥4级，粘纤布：≥4级</w:t>
            </w:r>
          </w:p>
          <w:p w14:paraId="0E96C180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11.耐酸汗渍色牢度：变色：≥4级，沾色：聚酯纤维布：≥4级，粘纤布：≥4级</w:t>
            </w:r>
          </w:p>
          <w:p w14:paraId="3907486E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12.耐碱汗渍色牢度：变色：≥4级，沾色：聚酯纤维布：≥4级，粘纤布：≥4级</w:t>
            </w:r>
          </w:p>
          <w:p w14:paraId="22A56993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13.耐干摩擦色牢度：沾色：≥4级</w:t>
            </w:r>
          </w:p>
          <w:p w14:paraId="13210535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14.耐湿摩擦色牢度：沾色：≥2级</w:t>
            </w:r>
          </w:p>
          <w:p w14:paraId="39447452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15.耐光色牢度：≥6级</w:t>
            </w:r>
          </w:p>
          <w:p w14:paraId="71D64C5E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16.起球：≥4级</w:t>
            </w:r>
          </w:p>
          <w:p w14:paraId="79D8AF13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17.耐皂洗色牢度：变色：≥4级，沾色：聚酯纤维布：≥4级，粘纤布：≥4级</w:t>
            </w:r>
          </w:p>
          <w:p w14:paraId="12C26F1F">
            <w:pPr>
              <w:pStyle w:val="17"/>
              <w:spacing w:before="82"/>
              <w:ind w:left="-13" w:right="-29"/>
              <w:rPr>
                <w:rFonts w:ascii="宋体" w:hAnsi="宋体" w:eastAsia="宋体" w:cs="宋体"/>
                <w:szCs w:val="21"/>
                <w:lang w:val="en-US" w:bidi="ar-SA"/>
              </w:rPr>
            </w:pPr>
            <w:r>
              <w:rPr>
                <w:rFonts w:hint="eastAsia" w:ascii="宋体" w:hAnsi="宋体" w:eastAsia="宋体" w:cs="宋体"/>
                <w:szCs w:val="21"/>
                <w:lang w:val="en-US" w:bidi="ar-SA"/>
              </w:rPr>
              <w:t>18.透气性：透气率：≥100mm/s</w:t>
            </w:r>
          </w:p>
          <w:p w14:paraId="499FA1C8">
            <w:pPr>
              <w:pStyle w:val="2"/>
              <w:numPr>
                <w:ilvl w:val="4"/>
                <w:numId w:val="0"/>
              </w:numPr>
              <w:spacing w:line="240" w:lineRule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drawing>
                <wp:inline distT="0" distB="0" distL="114300" distR="114300">
                  <wp:extent cx="1820545" cy="1003300"/>
                  <wp:effectExtent l="0" t="0" r="8255" b="6350"/>
                  <wp:docPr id="16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0545" cy="1003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68E2E9"/>
    <w:p w14:paraId="0DED7441"/>
    <w:sectPr>
      <w:pgSz w:w="11906" w:h="16838"/>
      <w:pgMar w:top="1418" w:right="1304" w:bottom="1531" w:left="1304" w:header="1247" w:footer="130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D4528C"/>
    <w:multiLevelType w:val="singleLevel"/>
    <w:tmpl w:val="87D4528C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8923CC5F"/>
    <w:multiLevelType w:val="singleLevel"/>
    <w:tmpl w:val="8923CC5F"/>
    <w:lvl w:ilvl="0" w:tentative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</w:abstractNum>
  <w:abstractNum w:abstractNumId="2">
    <w:nsid w:val="2FF91D0A"/>
    <w:multiLevelType w:val="multilevel"/>
    <w:tmpl w:val="2FF91D0A"/>
    <w:lvl w:ilvl="0" w:tentative="0">
      <w:start w:val="1"/>
      <w:numFmt w:val="chineseCountingThousand"/>
      <w:lvlText w:val="第%1部分"/>
      <w:lvlJc w:val="left"/>
      <w:pPr>
        <w:tabs>
          <w:tab w:val="left" w:pos="1800"/>
        </w:tabs>
        <w:ind w:left="425" w:hanging="425"/>
      </w:pPr>
      <w:rPr>
        <w:rFonts w:hint="eastAsia"/>
      </w:rPr>
    </w:lvl>
    <w:lvl w:ilvl="1" w:tentative="0">
      <w:start w:val="1"/>
      <w:numFmt w:val="decimal"/>
      <w:isLgl/>
      <w:lvlText w:val="%1.%2"/>
      <w:lvlJc w:val="left"/>
      <w:pPr>
        <w:tabs>
          <w:tab w:val="left" w:pos="567"/>
        </w:tabs>
        <w:ind w:left="567" w:hanging="567"/>
      </w:pPr>
      <w:rPr>
        <w:rFonts w:hint="eastAsia"/>
      </w:rPr>
    </w:lvl>
    <w:lvl w:ilvl="2" w:tentative="0">
      <w:start w:val="1"/>
      <w:numFmt w:val="decimal"/>
      <w:isLgl/>
      <w:lvlText w:val="%1.%2.%3"/>
      <w:lvlJc w:val="left"/>
      <w:pPr>
        <w:tabs>
          <w:tab w:val="left" w:pos="1080"/>
        </w:tabs>
        <w:ind w:left="340" w:hanging="340"/>
      </w:pPr>
      <w:rPr>
        <w:rFonts w:hint="eastAsia"/>
      </w:rPr>
    </w:lvl>
    <w:lvl w:ilvl="3" w:tentative="0">
      <w:start w:val="1"/>
      <w:numFmt w:val="decimal"/>
      <w:isLgl/>
      <w:lvlText w:val="%1.%2.%3.%4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 w:tentative="0">
      <w:start w:val="1"/>
      <w:numFmt w:val="decimal"/>
      <w:pStyle w:val="2"/>
      <w:isLgl/>
      <w:lvlText w:val="%1.%2.%3.%4.%5"/>
      <w:lvlJc w:val="left"/>
      <w:pPr>
        <w:tabs>
          <w:tab w:val="left" w:pos="1080"/>
        </w:tabs>
        <w:ind w:left="992" w:hanging="992"/>
      </w:pPr>
      <w:rPr>
        <w:rFonts w:hint="eastAsia"/>
      </w:rPr>
    </w:lvl>
    <w:lvl w:ilvl="5" w:tentative="0">
      <w:start w:val="1"/>
      <w:numFmt w:val="decimal"/>
      <w:isLgl/>
      <w:lvlText w:val="%1.%2.%3.%4.%5.%6"/>
      <w:lvlJc w:val="left"/>
      <w:pPr>
        <w:tabs>
          <w:tab w:val="left" w:pos="1440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NmZiMTk1ZDg3OGNiNzRiNTVhMmQ0ZGYzNTZmZGEwZjYifQ=="/>
    <w:docVar w:name="KSO_WPS_MARK_KEY" w:val="12fde67a-cb98-40ae-979a-90bf0d61a150"/>
  </w:docVars>
  <w:rsids>
    <w:rsidRoot w:val="7E182D8A"/>
    <w:rsid w:val="000411DB"/>
    <w:rsid w:val="00157E2F"/>
    <w:rsid w:val="00166C12"/>
    <w:rsid w:val="001A77E0"/>
    <w:rsid w:val="00206FEE"/>
    <w:rsid w:val="00211C68"/>
    <w:rsid w:val="00252875"/>
    <w:rsid w:val="005F0A8E"/>
    <w:rsid w:val="006431B5"/>
    <w:rsid w:val="00665676"/>
    <w:rsid w:val="00720C01"/>
    <w:rsid w:val="00757013"/>
    <w:rsid w:val="00781A60"/>
    <w:rsid w:val="007A1FAA"/>
    <w:rsid w:val="00806CAD"/>
    <w:rsid w:val="008F5415"/>
    <w:rsid w:val="00922366"/>
    <w:rsid w:val="009B51A1"/>
    <w:rsid w:val="00B53BE5"/>
    <w:rsid w:val="00BC5A45"/>
    <w:rsid w:val="00C521ED"/>
    <w:rsid w:val="00D23610"/>
    <w:rsid w:val="00D87F1B"/>
    <w:rsid w:val="00DC3CB3"/>
    <w:rsid w:val="00E00AE1"/>
    <w:rsid w:val="00EA3088"/>
    <w:rsid w:val="00F05CF6"/>
    <w:rsid w:val="00FA5FF1"/>
    <w:rsid w:val="00FE40DB"/>
    <w:rsid w:val="070E5D19"/>
    <w:rsid w:val="07A24889"/>
    <w:rsid w:val="08360B73"/>
    <w:rsid w:val="086F3449"/>
    <w:rsid w:val="089864AC"/>
    <w:rsid w:val="08E61460"/>
    <w:rsid w:val="097C1D14"/>
    <w:rsid w:val="09AD6BFF"/>
    <w:rsid w:val="09B25D79"/>
    <w:rsid w:val="0BDA2FAB"/>
    <w:rsid w:val="0BDF644D"/>
    <w:rsid w:val="0EDE1617"/>
    <w:rsid w:val="12837884"/>
    <w:rsid w:val="147B7751"/>
    <w:rsid w:val="189F1804"/>
    <w:rsid w:val="19BD030E"/>
    <w:rsid w:val="1D13631D"/>
    <w:rsid w:val="1FAA740D"/>
    <w:rsid w:val="231864BD"/>
    <w:rsid w:val="24EB3F08"/>
    <w:rsid w:val="24FC3D8B"/>
    <w:rsid w:val="25EF76DF"/>
    <w:rsid w:val="26064A9A"/>
    <w:rsid w:val="26DF2525"/>
    <w:rsid w:val="27327646"/>
    <w:rsid w:val="274A6DDF"/>
    <w:rsid w:val="29517562"/>
    <w:rsid w:val="298602BE"/>
    <w:rsid w:val="2A781373"/>
    <w:rsid w:val="2E8B21B7"/>
    <w:rsid w:val="2EC92CDF"/>
    <w:rsid w:val="31336B36"/>
    <w:rsid w:val="32DC0545"/>
    <w:rsid w:val="36DA3C7A"/>
    <w:rsid w:val="37515E3B"/>
    <w:rsid w:val="381E598B"/>
    <w:rsid w:val="384D2BD3"/>
    <w:rsid w:val="39E4083C"/>
    <w:rsid w:val="3D6838BF"/>
    <w:rsid w:val="3E4774E9"/>
    <w:rsid w:val="40026051"/>
    <w:rsid w:val="434E6760"/>
    <w:rsid w:val="447446DC"/>
    <w:rsid w:val="45676DA7"/>
    <w:rsid w:val="456C2CAA"/>
    <w:rsid w:val="45945233"/>
    <w:rsid w:val="45EE21D2"/>
    <w:rsid w:val="48890A80"/>
    <w:rsid w:val="48C65E2F"/>
    <w:rsid w:val="49D505BB"/>
    <w:rsid w:val="4BDC3BFA"/>
    <w:rsid w:val="4C3A6B73"/>
    <w:rsid w:val="504E7D1C"/>
    <w:rsid w:val="5227542D"/>
    <w:rsid w:val="530615E2"/>
    <w:rsid w:val="55FC7224"/>
    <w:rsid w:val="56143CDD"/>
    <w:rsid w:val="5BC31A14"/>
    <w:rsid w:val="60F54994"/>
    <w:rsid w:val="61250E07"/>
    <w:rsid w:val="623B18FD"/>
    <w:rsid w:val="63141A74"/>
    <w:rsid w:val="65923509"/>
    <w:rsid w:val="68080937"/>
    <w:rsid w:val="6B1B42E7"/>
    <w:rsid w:val="6C235898"/>
    <w:rsid w:val="6C872EC1"/>
    <w:rsid w:val="6CA00F4F"/>
    <w:rsid w:val="6E6C09B3"/>
    <w:rsid w:val="75AC016D"/>
    <w:rsid w:val="764979AC"/>
    <w:rsid w:val="77FF6064"/>
    <w:rsid w:val="7954791B"/>
    <w:rsid w:val="7DB440D5"/>
    <w:rsid w:val="7E182D8A"/>
    <w:rsid w:val="7F9E792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numPr>
        <w:ilvl w:val="4"/>
        <w:numId w:val="1"/>
      </w:numPr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autoSpaceDE w:val="0"/>
      <w:autoSpaceDN w:val="0"/>
      <w:adjustRightInd w:val="0"/>
    </w:pPr>
    <w:rPr>
      <w:rFonts w:ascii="仿宋_GB2312" w:eastAsia="仿宋_GB2312"/>
      <w:kern w:val="0"/>
      <w:sz w:val="28"/>
      <w:szCs w:val="20"/>
    </w:rPr>
  </w:style>
  <w:style w:type="paragraph" w:styleId="4">
    <w:name w:val="toc 5"/>
    <w:basedOn w:val="1"/>
    <w:next w:val="1"/>
    <w:uiPriority w:val="0"/>
    <w:pPr>
      <w:ind w:left="1680" w:leftChars="800"/>
    </w:pPr>
  </w:style>
  <w:style w:type="paragraph" w:styleId="5">
    <w:name w:val="Date"/>
    <w:basedOn w:val="1"/>
    <w:next w:val="1"/>
    <w:link w:val="21"/>
    <w:uiPriority w:val="0"/>
    <w:pPr>
      <w:ind w:left="100" w:leftChars="2500"/>
    </w:pPr>
  </w:style>
  <w:style w:type="paragraph" w:styleId="6">
    <w:name w:val="Balloon Text"/>
    <w:basedOn w:val="1"/>
    <w:link w:val="20"/>
    <w:uiPriority w:val="0"/>
    <w:rPr>
      <w:sz w:val="18"/>
      <w:szCs w:val="18"/>
    </w:rPr>
  </w:style>
  <w:style w:type="paragraph" w:styleId="7">
    <w:name w:val="footer"/>
    <w:basedOn w:val="1"/>
    <w:link w:val="1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2"/>
    <w:basedOn w:val="1"/>
    <w:qFormat/>
    <w:uiPriority w:val="0"/>
    <w:pPr>
      <w:spacing w:after="120" w:line="480" w:lineRule="auto"/>
    </w:pPr>
    <w:rPr>
      <w:rFonts w:ascii="仿宋_GB2312" w:eastAsia="仿宋_GB2312"/>
      <w:sz w:val="32"/>
      <w:szCs w:val="32"/>
    </w:rPr>
  </w:style>
  <w:style w:type="paragraph" w:styleId="10">
    <w:name w:val="Body Text First Indent"/>
    <w:basedOn w:val="3"/>
    <w:qFormat/>
    <w:uiPriority w:val="0"/>
    <w:pPr>
      <w:ind w:firstLine="420"/>
    </w:p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kern w:val="28"/>
    </w:rPr>
  </w:style>
  <w:style w:type="paragraph" w:customStyle="1" w:styleId="15">
    <w:name w:val="列出段落1"/>
    <w:basedOn w:val="1"/>
    <w:qFormat/>
    <w:uiPriority w:val="0"/>
    <w:pPr>
      <w:ind w:firstLine="420" w:firstLineChars="200"/>
    </w:pPr>
    <w:rPr>
      <w:color w:val="595959"/>
    </w:rPr>
  </w:style>
  <w:style w:type="paragraph" w:styleId="16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17">
    <w:name w:val="Table Paragraph"/>
    <w:basedOn w:val="1"/>
    <w:qFormat/>
    <w:uiPriority w:val="1"/>
    <w:rPr>
      <w:rFonts w:ascii="仿宋" w:hAnsi="仿宋" w:eastAsia="仿宋" w:cs="仿宋"/>
      <w:lang w:val="zh-CN" w:bidi="zh-CN"/>
    </w:rPr>
  </w:style>
  <w:style w:type="character" w:customStyle="1" w:styleId="18">
    <w:name w:val="页眉 Char"/>
    <w:basedOn w:val="13"/>
    <w:link w:val="8"/>
    <w:uiPriority w:val="0"/>
    <w:rPr>
      <w:kern w:val="2"/>
      <w:sz w:val="18"/>
      <w:szCs w:val="18"/>
    </w:rPr>
  </w:style>
  <w:style w:type="character" w:customStyle="1" w:styleId="19">
    <w:name w:val="页脚 Char"/>
    <w:basedOn w:val="13"/>
    <w:link w:val="7"/>
    <w:uiPriority w:val="0"/>
    <w:rPr>
      <w:kern w:val="2"/>
      <w:sz w:val="18"/>
      <w:szCs w:val="18"/>
    </w:rPr>
  </w:style>
  <w:style w:type="character" w:customStyle="1" w:styleId="20">
    <w:name w:val="批注框文本 Char"/>
    <w:basedOn w:val="13"/>
    <w:link w:val="6"/>
    <w:uiPriority w:val="0"/>
    <w:rPr>
      <w:kern w:val="2"/>
      <w:sz w:val="18"/>
      <w:szCs w:val="18"/>
    </w:rPr>
  </w:style>
  <w:style w:type="character" w:customStyle="1" w:styleId="21">
    <w:name w:val="日期 Char"/>
    <w:basedOn w:val="13"/>
    <w:link w:val="5"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591</Words>
  <Characters>3375</Characters>
  <Lines>28</Lines>
  <Paragraphs>7</Paragraphs>
  <TotalTime>0</TotalTime>
  <ScaleCrop>false</ScaleCrop>
  <LinksUpToDate>false</LinksUpToDate>
  <CharactersWithSpaces>3959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2026-07-14T00:45:00Z</dcterms:created>
  <dc:creator>王，一路追随</dc:creator>
  <cp:lastModifiedBy>Administrator</cp:lastModifiedBy>
  <cp:lastPrinted>2026-07-14T00:55:00Z</cp:lastPrinted>
  <dcterms:modified xsi:type="dcterms:W3CDTF">2026-07-15T01:33:05Z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586F290D6EBE4789A5719A478066D06E_13</vt:lpwstr>
  </property>
  <property fmtid="{D5CDD505-2E9C-101B-9397-08002B2CF9AE}" pid="4" name="KSOTemplateDocerSaveRecord">
    <vt:lpwstr>eyJoZGlkIjoiMTQ1NjM3NzIyMzc0Y2U0ZjMyMzFmMWZjZDg2OThlODkiLCJ1c2VySWQiOiI4NzQ0Mzg4NjMifQ==</vt:lpwstr>
  </property>
</Properties>
</file>