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bookmarkStart w:id="0" w:name="_GoBack"/>
      <w:bookmarkEnd w:id="0"/>
      <w: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t>附件2：</w:t>
      </w:r>
    </w:p>
    <w:p>
      <w:pPr>
        <w:jc w:val="center"/>
        <w:rPr>
          <w:rFonts w:hint="eastAsia" w:ascii="仿宋_GB2312" w:hAnsi="宋体" w:eastAsia="仿宋_GB2312" w:cs="仿宋_GB2312"/>
          <w:b w:val="0"/>
          <w:bC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宋体" w:eastAsia="仿宋_GB2312" w:cs="仿宋_GB2312"/>
          <w:b w:val="0"/>
          <w:bCs w:val="0"/>
          <w:i w:val="0"/>
          <w:iCs w:val="0"/>
          <w:caps w:val="0"/>
          <w:snapToGrid w:val="0"/>
          <w:color w:val="000000" w:themeColor="text1"/>
          <w:spacing w:val="0"/>
          <w:sz w:val="36"/>
          <w:szCs w:val="36"/>
          <w:highlight w:val="none"/>
          <w:shd w:val="clear" w:fill="FFFFFF"/>
          <w:lang w:val="en-US" w:eastAsia="zh-CN" w:bidi="ar-SA"/>
          <w14:textFill>
            <w14:solidFill>
              <w14:schemeClr w14:val="tx1"/>
            </w14:solidFill>
          </w14:textFill>
        </w:rPr>
        <w:t>报价函</w:t>
      </w:r>
    </w:p>
    <w:tbl>
      <w:tblPr>
        <w:tblStyle w:val="6"/>
        <w:tblW w:w="4569"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6"/>
        <w:gridCol w:w="5406"/>
        <w:gridCol w:w="499"/>
        <w:gridCol w:w="427"/>
        <w:gridCol w:w="1542"/>
      </w:tblGrid>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blHeader/>
        </w:trPr>
        <w:tc>
          <w:tcPr>
            <w:tcW w:w="692" w:type="pct"/>
            <w:tcBorders>
              <w:tl2br w:val="nil"/>
              <w:tr2bl w:val="nil"/>
            </w:tcBorders>
            <w:noWrap/>
            <w:vAlign w:val="center"/>
          </w:tcPr>
          <w:p>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项目名称</w:t>
            </w:r>
          </w:p>
        </w:tc>
        <w:tc>
          <w:tcPr>
            <w:tcW w:w="2957" w:type="pct"/>
            <w:tcBorders>
              <w:tl2br w:val="nil"/>
              <w:tr2bl w:val="nil"/>
            </w:tcBorders>
            <w:noWrap/>
            <w:vAlign w:val="center"/>
          </w:tcPr>
          <w:p>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服务参数要求</w:t>
            </w:r>
          </w:p>
        </w:tc>
        <w:tc>
          <w:tcPr>
            <w:tcW w:w="272" w:type="pct"/>
            <w:tcBorders>
              <w:tl2br w:val="nil"/>
              <w:tr2bl w:val="nil"/>
            </w:tcBorders>
            <w:noWrap/>
            <w:vAlign w:val="center"/>
          </w:tcPr>
          <w:p>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单位</w:t>
            </w:r>
          </w:p>
        </w:tc>
        <w:tc>
          <w:tcPr>
            <w:tcW w:w="233" w:type="pct"/>
            <w:tcBorders>
              <w:tl2br w:val="nil"/>
              <w:tr2bl w:val="nil"/>
            </w:tcBorders>
            <w:noWrap/>
            <w:vAlign w:val="center"/>
          </w:tcPr>
          <w:p>
            <w:pPr>
              <w:widowControl/>
              <w:jc w:val="center"/>
              <w:textAlignment w:val="center"/>
              <w:rPr>
                <w:rFonts w:hint="eastAsia" w:hAnsi="宋体" w:cs="宋体"/>
                <w:b/>
                <w:bCs/>
                <w:color w:val="000000"/>
                <w:sz w:val="22"/>
                <w:szCs w:val="22"/>
              </w:rPr>
            </w:pPr>
            <w:r>
              <w:rPr>
                <w:rFonts w:hint="eastAsia" w:hAnsi="宋体" w:cs="宋体"/>
                <w:b/>
                <w:bCs/>
                <w:color w:val="000000"/>
                <w:kern w:val="0"/>
                <w:sz w:val="22"/>
                <w:szCs w:val="22"/>
                <w:lang w:bidi="ar"/>
              </w:rPr>
              <w:t>数量</w:t>
            </w:r>
          </w:p>
        </w:tc>
        <w:tc>
          <w:tcPr>
            <w:tcW w:w="843" w:type="pct"/>
            <w:tcBorders>
              <w:tl2br w:val="nil"/>
              <w:tr2bl w:val="nil"/>
            </w:tcBorders>
            <w:noWrap/>
            <w:vAlign w:val="center"/>
          </w:tcPr>
          <w:p>
            <w:pPr>
              <w:widowControl/>
              <w:jc w:val="center"/>
              <w:textAlignment w:val="center"/>
              <w:rPr>
                <w:rFonts w:hint="eastAsia" w:hAnsi="宋体" w:cs="宋体"/>
                <w:b/>
                <w:bCs/>
                <w:color w:val="000000"/>
                <w:kern w:val="0"/>
                <w:sz w:val="22"/>
                <w:szCs w:val="22"/>
                <w:lang w:bidi="ar"/>
              </w:rPr>
            </w:pPr>
            <w:r>
              <w:rPr>
                <w:rFonts w:hint="eastAsia" w:hAnsi="宋体" w:eastAsia="宋体" w:cs="宋体"/>
                <w:b/>
                <w:bCs/>
                <w:color w:val="000000"/>
                <w:kern w:val="0"/>
                <w:sz w:val="22"/>
                <w:szCs w:val="22"/>
                <w:lang w:val="en-US" w:eastAsia="zh-CN" w:bidi="ar"/>
              </w:rPr>
              <w:t>报价（万元）</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1233" w:hRule="atLeast"/>
        </w:trPr>
        <w:tc>
          <w:tcPr>
            <w:tcW w:w="692" w:type="pct"/>
            <w:tcBorders>
              <w:tl2br w:val="nil"/>
              <w:tr2bl w:val="nil"/>
            </w:tcBorders>
            <w:vAlign w:val="center"/>
          </w:tcPr>
          <w:p>
            <w:pPr>
              <w:widowControl/>
              <w:jc w:val="left"/>
              <w:textAlignment w:val="center"/>
              <w:rPr>
                <w:rFonts w:hint="eastAsia" w:hAnsi="宋体" w:cs="宋体"/>
                <w:b w:val="0"/>
                <w:bCs w:val="0"/>
                <w:color w:val="000000"/>
                <w:sz w:val="22"/>
                <w:szCs w:val="22"/>
              </w:rPr>
            </w:pPr>
            <w:r>
              <w:rPr>
                <w:rFonts w:hint="eastAsia"/>
                <w:lang w:val="en-US" w:eastAsia="zh-CN"/>
              </w:rPr>
              <w:t>福州市公共道路基础数据采集、维护服务采购项目</w:t>
            </w:r>
          </w:p>
        </w:tc>
        <w:tc>
          <w:tcPr>
            <w:tcW w:w="2957" w:type="pct"/>
            <w:tcBorders>
              <w:tl2br w:val="nil"/>
              <w:tr2bl w:val="nil"/>
            </w:tcBorders>
            <w:vAlign w:val="center"/>
          </w:tcPr>
          <w:p>
            <w:pPr>
              <w:pStyle w:val="2"/>
              <w:numPr>
                <w:ilvl w:val="0"/>
                <w:numId w:val="0"/>
              </w:numPr>
              <w:spacing w:before="180" w:line="280" w:lineRule="exact"/>
              <w:ind w:left="28" w:right="79" w:firstLine="456" w:firstLineChars="200"/>
              <w:outlineLvl w:val="9"/>
              <w:rPr>
                <w:color w:val="auto"/>
                <w:highlight w:val="none"/>
                <w:lang w:eastAsia="zh-CN"/>
              </w:rPr>
            </w:pPr>
            <w:r>
              <w:rPr>
                <w:rFonts w:hint="eastAsia"/>
                <w:b w:val="0"/>
                <w:bCs w:val="0"/>
                <w:color w:val="auto"/>
                <w:spacing w:val="-6"/>
                <w:highlight w:val="none"/>
                <w:lang w:val="en-US" w:eastAsia="zh-CN"/>
              </w:rPr>
              <w:t>一</w:t>
            </w:r>
            <w:r>
              <w:rPr>
                <w:b w:val="0"/>
                <w:bCs w:val="0"/>
                <w:color w:val="auto"/>
                <w:spacing w:val="-6"/>
                <w:highlight w:val="none"/>
                <w:lang w:eastAsia="zh-CN"/>
              </w:rPr>
              <w:t>、</w:t>
            </w:r>
            <w:r>
              <w:rPr>
                <w:rFonts w:hint="eastAsia"/>
                <w:b w:val="0"/>
                <w:bCs w:val="0"/>
                <w:color w:val="auto"/>
                <w:spacing w:val="-6"/>
                <w:highlight w:val="none"/>
                <w:lang w:val="en-US" w:eastAsia="zh-CN"/>
              </w:rPr>
              <w:t>项目技术</w:t>
            </w:r>
            <w:r>
              <w:rPr>
                <w:b w:val="0"/>
                <w:bCs w:val="0"/>
                <w:color w:val="auto"/>
                <w:spacing w:val="-6"/>
                <w:highlight w:val="none"/>
                <w:lang w:eastAsia="zh-CN"/>
              </w:rPr>
              <w:t>需求</w:t>
            </w:r>
          </w:p>
          <w:p>
            <w:pPr>
              <w:pStyle w:val="2"/>
              <w:numPr>
                <w:ilvl w:val="0"/>
                <w:numId w:val="0"/>
              </w:numPr>
              <w:spacing w:before="180" w:line="280" w:lineRule="exact"/>
              <w:ind w:left="28" w:right="79" w:firstLine="456" w:firstLineChars="200"/>
              <w:rPr>
                <w:rFonts w:hint="default"/>
                <w:color w:val="auto"/>
                <w:spacing w:val="-4"/>
                <w:highlight w:val="none"/>
                <w:lang w:val="en-US" w:eastAsia="zh-CN"/>
              </w:rPr>
            </w:pPr>
            <w:r>
              <w:rPr>
                <w:color w:val="auto"/>
                <w:spacing w:val="-6"/>
                <w:highlight w:val="none"/>
                <w:lang w:eastAsia="zh-CN"/>
              </w:rPr>
              <w:t>按照公安部交管局《公安交通道路基础信息库建设方案》，开展道路基础信</w:t>
            </w:r>
            <w:r>
              <w:rPr>
                <w:color w:val="auto"/>
                <w:spacing w:val="-3"/>
                <w:highlight w:val="none"/>
                <w:lang w:eastAsia="zh-CN"/>
              </w:rPr>
              <w:t>息的数据采集、处理、</w:t>
            </w:r>
            <w:r>
              <w:rPr>
                <w:rFonts w:hint="eastAsia"/>
                <w:color w:val="auto"/>
                <w:spacing w:val="-3"/>
                <w:highlight w:val="none"/>
                <w:lang w:val="en-US" w:eastAsia="zh-CN"/>
              </w:rPr>
              <w:t>导入、业务培训、数据</w:t>
            </w:r>
            <w:r>
              <w:rPr>
                <w:color w:val="auto"/>
                <w:spacing w:val="-3"/>
                <w:highlight w:val="none"/>
                <w:lang w:eastAsia="zh-CN"/>
              </w:rPr>
              <w:t>核对</w:t>
            </w:r>
            <w:r>
              <w:rPr>
                <w:rFonts w:hint="eastAsia"/>
                <w:color w:val="auto"/>
                <w:spacing w:val="-3"/>
                <w:highlight w:val="none"/>
                <w:lang w:val="en-US" w:eastAsia="zh-CN"/>
              </w:rPr>
              <w:t>校准补充</w:t>
            </w:r>
            <w:r>
              <w:rPr>
                <w:color w:val="auto"/>
                <w:spacing w:val="-3"/>
                <w:highlight w:val="none"/>
                <w:lang w:eastAsia="zh-CN"/>
              </w:rPr>
              <w:t>、应用和更新。具体任务如</w:t>
            </w:r>
            <w:r>
              <w:rPr>
                <w:color w:val="auto"/>
                <w:spacing w:val="-4"/>
                <w:highlight w:val="none"/>
                <w:lang w:eastAsia="zh-CN"/>
              </w:rPr>
              <w:t>下：</w:t>
            </w:r>
          </w:p>
          <w:p>
            <w:pPr>
              <w:pStyle w:val="2"/>
              <w:numPr>
                <w:ilvl w:val="0"/>
                <w:numId w:val="0"/>
              </w:numPr>
              <w:spacing w:before="180" w:line="280" w:lineRule="exact"/>
              <w:ind w:left="28" w:right="79" w:firstLine="456" w:firstLineChars="200"/>
              <w:rPr>
                <w:color w:val="auto"/>
                <w:highlight w:val="none"/>
                <w:lang w:eastAsia="zh-CN"/>
              </w:rPr>
            </w:pPr>
            <w:r>
              <w:rPr>
                <w:color w:val="auto"/>
                <w:spacing w:val="-6"/>
                <w:highlight w:val="none"/>
                <w:lang w:eastAsia="zh-CN"/>
              </w:rPr>
              <w:t>1.</w:t>
            </w:r>
            <w:r>
              <w:rPr>
                <w:color w:val="auto"/>
                <w:spacing w:val="-37"/>
                <w:highlight w:val="none"/>
                <w:lang w:eastAsia="zh-CN"/>
              </w:rPr>
              <w:t xml:space="preserve"> </w:t>
            </w:r>
            <w:r>
              <w:rPr>
                <w:b w:val="0"/>
                <w:bCs w:val="0"/>
                <w:color w:val="auto"/>
                <w:spacing w:val="-6"/>
                <w:highlight w:val="none"/>
                <w:lang w:eastAsia="zh-CN"/>
              </w:rPr>
              <w:t>数据</w:t>
            </w:r>
            <w:r>
              <w:rPr>
                <w:rFonts w:hint="eastAsia"/>
                <w:b w:val="0"/>
                <w:bCs w:val="0"/>
                <w:color w:val="auto"/>
                <w:spacing w:val="-6"/>
                <w:highlight w:val="none"/>
                <w:lang w:val="en-US" w:eastAsia="zh-CN"/>
              </w:rPr>
              <w:t>采集</w:t>
            </w:r>
            <w:r>
              <w:rPr>
                <w:b w:val="0"/>
                <w:bCs w:val="0"/>
                <w:color w:val="auto"/>
                <w:spacing w:val="-6"/>
                <w:highlight w:val="none"/>
                <w:lang w:eastAsia="zh-CN"/>
              </w:rPr>
              <w:t>。</w:t>
            </w:r>
            <w:r>
              <w:rPr>
                <w:rFonts w:hint="eastAsia"/>
                <w:b w:val="0"/>
                <w:bCs w:val="0"/>
                <w:color w:val="auto"/>
                <w:spacing w:val="-6"/>
                <w:highlight w:val="none"/>
                <w:lang w:eastAsia="zh-CN"/>
              </w:rPr>
              <w:t>针对福州市全市范围，</w:t>
            </w:r>
            <w:r>
              <w:rPr>
                <w:rFonts w:hint="eastAsia"/>
                <w:color w:val="auto"/>
                <w:spacing w:val="-6"/>
                <w:highlight w:val="none"/>
                <w:lang w:val="en-US" w:eastAsia="zh-CN"/>
              </w:rPr>
              <w:t>采集</w:t>
            </w:r>
            <w:r>
              <w:rPr>
                <w:color w:val="auto"/>
                <w:spacing w:val="-6"/>
                <w:highlight w:val="none"/>
                <w:lang w:eastAsia="zh-CN"/>
              </w:rPr>
              <w:t>获取矢量道路数据，形成初始道路</w:t>
            </w:r>
            <w:r>
              <w:rPr>
                <w:color w:val="auto"/>
                <w:spacing w:val="-7"/>
                <w:highlight w:val="none"/>
                <w:lang w:eastAsia="zh-CN"/>
              </w:rPr>
              <w:t>清单，包括道路名称、道路</w:t>
            </w:r>
            <w:r>
              <w:rPr>
                <w:color w:val="auto"/>
                <w:spacing w:val="-5"/>
                <w:highlight w:val="none"/>
                <w:lang w:eastAsia="zh-CN"/>
              </w:rPr>
              <w:t>类型、矢量坐标信息</w:t>
            </w:r>
            <w:r>
              <w:rPr>
                <w:rFonts w:hint="eastAsia"/>
                <w:color w:val="auto"/>
                <w:spacing w:val="-5"/>
                <w:highlight w:val="none"/>
                <w:lang w:eastAsia="zh-CN"/>
              </w:rPr>
              <w:t>，</w:t>
            </w:r>
            <w:r>
              <w:rPr>
                <w:rFonts w:hint="eastAsia"/>
                <w:color w:val="auto"/>
                <w:spacing w:val="-5"/>
                <w:highlight w:val="none"/>
                <w:lang w:val="en-US" w:eastAsia="zh-CN"/>
              </w:rPr>
              <w:t>包括</w:t>
            </w:r>
            <w:r>
              <w:rPr>
                <w:rFonts w:hint="eastAsia"/>
                <w:color w:val="auto"/>
                <w:spacing w:val="-2"/>
                <w:highlight w:val="none"/>
                <w:lang w:val="en-US" w:eastAsia="zh-CN"/>
              </w:rPr>
              <w:t>景区、学校、医院、停车场等重要场所的经纬度数据</w:t>
            </w:r>
            <w:r>
              <w:rPr>
                <w:color w:val="auto"/>
                <w:spacing w:val="-5"/>
                <w:highlight w:val="none"/>
                <w:lang w:eastAsia="zh-CN"/>
              </w:rPr>
              <w:t>等。</w:t>
            </w:r>
          </w:p>
          <w:p>
            <w:pPr>
              <w:pStyle w:val="2"/>
              <w:numPr>
                <w:ilvl w:val="0"/>
                <w:numId w:val="0"/>
              </w:numPr>
              <w:spacing w:before="180" w:line="280" w:lineRule="exact"/>
              <w:ind w:left="28" w:right="79" w:firstLine="452" w:firstLineChars="200"/>
              <w:rPr>
                <w:rFonts w:hint="default"/>
                <w:color w:val="auto"/>
                <w:highlight w:val="none"/>
                <w:lang w:val="en-US" w:eastAsia="zh-CN"/>
              </w:rPr>
            </w:pPr>
            <w:r>
              <w:rPr>
                <w:color w:val="auto"/>
                <w:spacing w:val="-7"/>
                <w:highlight w:val="none"/>
                <w:lang w:eastAsia="zh-CN"/>
              </w:rPr>
              <w:t>2.</w:t>
            </w:r>
            <w:r>
              <w:rPr>
                <w:color w:val="auto"/>
                <w:spacing w:val="-26"/>
                <w:highlight w:val="none"/>
                <w:lang w:eastAsia="zh-CN"/>
              </w:rPr>
              <w:t xml:space="preserve"> </w:t>
            </w:r>
            <w:r>
              <w:rPr>
                <w:b w:val="0"/>
                <w:bCs w:val="0"/>
                <w:color w:val="auto"/>
                <w:spacing w:val="-7"/>
                <w:highlight w:val="none"/>
                <w:lang w:eastAsia="zh-CN"/>
              </w:rPr>
              <w:t>数据处理。</w:t>
            </w:r>
            <w:r>
              <w:rPr>
                <w:color w:val="auto"/>
                <w:spacing w:val="-7"/>
                <w:highlight w:val="none"/>
                <w:lang w:eastAsia="zh-CN"/>
              </w:rPr>
              <w:t>按照部局《公安交通道路基础信息库建设方案》 通过</w:t>
            </w:r>
            <w:r>
              <w:rPr>
                <w:color w:val="auto"/>
                <w:spacing w:val="-38"/>
                <w:highlight w:val="none"/>
                <w:lang w:eastAsia="zh-CN"/>
              </w:rPr>
              <w:t xml:space="preserve"> </w:t>
            </w:r>
            <w:r>
              <w:rPr>
                <w:color w:val="auto"/>
                <w:spacing w:val="-7"/>
                <w:highlight w:val="none"/>
                <w:lang w:eastAsia="zh-CN"/>
              </w:rPr>
              <w:t>link</w:t>
            </w:r>
            <w:r>
              <w:rPr>
                <w:color w:val="auto"/>
                <w:spacing w:val="-41"/>
                <w:highlight w:val="none"/>
                <w:lang w:eastAsia="zh-CN"/>
              </w:rPr>
              <w:t xml:space="preserve"> </w:t>
            </w:r>
            <w:r>
              <w:rPr>
                <w:color w:val="auto"/>
                <w:spacing w:val="-7"/>
                <w:highlight w:val="none"/>
                <w:lang w:eastAsia="zh-CN"/>
              </w:rPr>
              <w:t>段</w:t>
            </w:r>
            <w:r>
              <w:rPr>
                <w:color w:val="auto"/>
                <w:spacing w:val="-12"/>
                <w:highlight w:val="none"/>
                <w:lang w:eastAsia="zh-CN"/>
              </w:rPr>
              <w:t>拼接、属性补充（途经行政区划、长度等） 、路段切分等处理，以满足部</w:t>
            </w:r>
            <w:r>
              <w:rPr>
                <w:rFonts w:hint="eastAsia"/>
                <w:color w:val="auto"/>
                <w:spacing w:val="-12"/>
                <w:highlight w:val="none"/>
                <w:lang w:val="en-US" w:eastAsia="zh-CN"/>
              </w:rPr>
              <w:t>交管</w:t>
            </w:r>
            <w:r>
              <w:rPr>
                <w:color w:val="auto"/>
                <w:spacing w:val="-12"/>
                <w:highlight w:val="none"/>
                <w:lang w:eastAsia="zh-CN"/>
              </w:rPr>
              <w:t>局的</w:t>
            </w:r>
            <w:r>
              <w:rPr>
                <w:rFonts w:hint="eastAsia"/>
                <w:color w:val="auto"/>
                <w:spacing w:val="-12"/>
                <w:highlight w:val="none"/>
                <w:lang w:val="en-US" w:eastAsia="zh-CN"/>
              </w:rPr>
              <w:t>规范</w:t>
            </w:r>
            <w:r>
              <w:rPr>
                <w:color w:val="auto"/>
                <w:spacing w:val="-12"/>
                <w:highlight w:val="none"/>
                <w:lang w:eastAsia="zh-CN"/>
              </w:rPr>
              <w:t>要</w:t>
            </w:r>
            <w:r>
              <w:rPr>
                <w:color w:val="auto"/>
                <w:spacing w:val="-13"/>
                <w:highlight w:val="none"/>
                <w:lang w:eastAsia="zh-CN"/>
              </w:rPr>
              <w:t>求。</w:t>
            </w:r>
            <w:r>
              <w:rPr>
                <w:rFonts w:hint="eastAsia"/>
                <w:b w:val="0"/>
                <w:bCs w:val="0"/>
                <w:color w:val="auto"/>
                <w:spacing w:val="-13"/>
                <w:highlight w:val="none"/>
                <w:lang w:val="en-US" w:eastAsia="zh-CN"/>
              </w:rPr>
              <w:t>经规范处理后，采集的基础道路数据量满足如下要求:道路数不少于3000条，道路总公里数不少于8000公里，道路link段数不少于80000条（道路数据由多个</w:t>
            </w:r>
            <w:r>
              <w:rPr>
                <w:b w:val="0"/>
                <w:bCs w:val="0"/>
                <w:color w:val="auto"/>
                <w:spacing w:val="-7"/>
                <w:highlight w:val="none"/>
                <w:lang w:eastAsia="zh-CN"/>
              </w:rPr>
              <w:t>link</w:t>
            </w:r>
            <w:r>
              <w:rPr>
                <w:b w:val="0"/>
                <w:bCs w:val="0"/>
                <w:color w:val="auto"/>
                <w:spacing w:val="-41"/>
                <w:highlight w:val="none"/>
                <w:lang w:eastAsia="zh-CN"/>
              </w:rPr>
              <w:t xml:space="preserve"> </w:t>
            </w:r>
            <w:r>
              <w:rPr>
                <w:b w:val="0"/>
                <w:bCs w:val="0"/>
                <w:color w:val="auto"/>
                <w:spacing w:val="-7"/>
                <w:highlight w:val="none"/>
                <w:lang w:eastAsia="zh-CN"/>
              </w:rPr>
              <w:t>段</w:t>
            </w:r>
            <w:r>
              <w:rPr>
                <w:rFonts w:hint="eastAsia"/>
                <w:b w:val="0"/>
                <w:bCs w:val="0"/>
                <w:color w:val="auto"/>
                <w:spacing w:val="-7"/>
                <w:highlight w:val="none"/>
                <w:lang w:val="en-US" w:eastAsia="zh-CN"/>
              </w:rPr>
              <w:t>连接而成，每个link段的首尾点位均有准确的经纬度信息</w:t>
            </w:r>
            <w:r>
              <w:rPr>
                <w:rFonts w:hint="eastAsia"/>
                <w:b w:val="0"/>
                <w:bCs w:val="0"/>
                <w:color w:val="auto"/>
                <w:spacing w:val="-13"/>
                <w:highlight w:val="none"/>
                <w:lang w:val="en-US" w:eastAsia="zh-CN"/>
              </w:rPr>
              <w:t>），路口数不少于3000个，路段数不少于5000个。针对处理好的道路数据，需要提供对应的属性信息，道路属性信息包括：道路名称、道路类型、道路的行政区划、道路长度、道路形状；路段属性包括路段名称、车道数、行政区划、路段长度、路段类型、路段方向；路口属性包括路口名称、行政区划、路口类型、有无信号灯控制等信息。</w:t>
            </w:r>
          </w:p>
          <w:p>
            <w:pPr>
              <w:pStyle w:val="2"/>
              <w:numPr>
                <w:ilvl w:val="0"/>
                <w:numId w:val="0"/>
              </w:numPr>
              <w:spacing w:before="180" w:line="280" w:lineRule="exact"/>
              <w:ind w:left="28" w:right="79" w:firstLine="484" w:firstLineChars="200"/>
              <w:rPr>
                <w:rFonts w:hint="eastAsia"/>
                <w:color w:val="auto"/>
                <w:spacing w:val="-3"/>
                <w:highlight w:val="none"/>
                <w:lang w:val="en-US" w:eastAsia="zh-CN"/>
              </w:rPr>
            </w:pPr>
            <w:r>
              <w:rPr>
                <w:b w:val="0"/>
                <w:bCs w:val="0"/>
                <w:color w:val="auto"/>
                <w:spacing w:val="1"/>
                <w:highlight w:val="none"/>
                <w:lang w:eastAsia="zh-CN"/>
              </w:rPr>
              <w:t>3.</w:t>
            </w:r>
            <w:r>
              <w:rPr>
                <w:b w:val="0"/>
                <w:bCs w:val="0"/>
                <w:color w:val="auto"/>
                <w:spacing w:val="-38"/>
                <w:highlight w:val="none"/>
                <w:lang w:eastAsia="zh-CN"/>
              </w:rPr>
              <w:t xml:space="preserve"> </w:t>
            </w:r>
            <w:r>
              <w:rPr>
                <w:b w:val="0"/>
                <w:bCs w:val="0"/>
                <w:color w:val="auto"/>
                <w:spacing w:val="1"/>
                <w:highlight w:val="none"/>
                <w:lang w:eastAsia="zh-CN"/>
              </w:rPr>
              <w:t>数据</w:t>
            </w:r>
            <w:r>
              <w:rPr>
                <w:rFonts w:hint="eastAsia"/>
                <w:b w:val="0"/>
                <w:bCs w:val="0"/>
                <w:color w:val="auto"/>
                <w:spacing w:val="1"/>
                <w:highlight w:val="none"/>
                <w:lang w:val="en-US" w:eastAsia="zh-CN"/>
              </w:rPr>
              <w:t>导入</w:t>
            </w:r>
            <w:r>
              <w:rPr>
                <w:b w:val="0"/>
                <w:bCs w:val="0"/>
                <w:color w:val="auto"/>
                <w:spacing w:val="1"/>
                <w:highlight w:val="none"/>
                <w:lang w:eastAsia="zh-CN"/>
              </w:rPr>
              <w:t>。</w:t>
            </w:r>
            <w:r>
              <w:rPr>
                <w:color w:val="auto"/>
                <w:spacing w:val="1"/>
                <w:highlight w:val="none"/>
                <w:lang w:eastAsia="zh-CN"/>
              </w:rPr>
              <w:t>道路基础数据导入到部局研发的公安交管道路信息</w:t>
            </w:r>
            <w:r>
              <w:rPr>
                <w:color w:val="auto"/>
                <w:highlight w:val="none"/>
                <w:lang w:eastAsia="zh-CN"/>
              </w:rPr>
              <w:t>维护系统</w:t>
            </w:r>
            <w:r>
              <w:rPr>
                <w:rFonts w:hint="eastAsia"/>
                <w:color w:val="auto"/>
                <w:highlight w:val="none"/>
                <w:lang w:val="en-US" w:eastAsia="zh-CN"/>
              </w:rPr>
              <w:t>,相关数据推送到</w:t>
            </w:r>
            <w:r>
              <w:rPr>
                <w:rFonts w:hint="eastAsia"/>
                <w:color w:val="auto"/>
                <w:spacing w:val="-3"/>
                <w:highlight w:val="none"/>
                <w:lang w:val="en-US" w:eastAsia="zh-CN"/>
              </w:rPr>
              <w:t>福建省交通安全综合服务管理平台（平台网址为：fj.122.gov.cn）。</w:t>
            </w:r>
          </w:p>
          <w:p>
            <w:pPr>
              <w:pStyle w:val="2"/>
              <w:numPr>
                <w:ilvl w:val="0"/>
                <w:numId w:val="0"/>
              </w:numPr>
              <w:spacing w:before="180" w:line="280" w:lineRule="exact"/>
              <w:ind w:left="28" w:right="79" w:firstLine="484" w:firstLineChars="200"/>
              <w:rPr>
                <w:rFonts w:hint="default"/>
                <w:color w:val="auto"/>
                <w:spacing w:val="-3"/>
                <w:highlight w:val="none"/>
                <w:lang w:val="en-US" w:eastAsia="zh-CN"/>
              </w:rPr>
            </w:pPr>
            <w:r>
              <w:rPr>
                <w:rFonts w:hint="eastAsia"/>
                <w:b w:val="0"/>
                <w:bCs w:val="0"/>
                <w:color w:val="auto"/>
                <w:spacing w:val="1"/>
                <w:highlight w:val="none"/>
                <w:lang w:val="en-US" w:eastAsia="zh-CN"/>
              </w:rPr>
              <w:t>4.业务培训。</w:t>
            </w:r>
            <w:r>
              <w:rPr>
                <w:rFonts w:hint="eastAsia"/>
                <w:color w:val="auto"/>
                <w:spacing w:val="-3"/>
                <w:highlight w:val="none"/>
                <w:lang w:val="en-US" w:eastAsia="zh-CN"/>
              </w:rPr>
              <w:t>对数据校准及数据应用开展业务培训。</w:t>
            </w:r>
          </w:p>
          <w:p>
            <w:pPr>
              <w:pStyle w:val="2"/>
              <w:numPr>
                <w:ilvl w:val="0"/>
                <w:numId w:val="0"/>
              </w:numPr>
              <w:spacing w:before="180" w:line="280" w:lineRule="exact"/>
              <w:ind w:left="28" w:right="79" w:firstLine="484" w:firstLineChars="200"/>
              <w:rPr>
                <w:rFonts w:hint="default"/>
                <w:color w:val="auto"/>
                <w:highlight w:val="none"/>
                <w:lang w:val="en-US" w:eastAsia="zh-CN"/>
              </w:rPr>
            </w:pPr>
            <w:r>
              <w:rPr>
                <w:rFonts w:hint="eastAsia"/>
                <w:b w:val="0"/>
                <w:bCs w:val="0"/>
                <w:color w:val="auto"/>
                <w:spacing w:val="1"/>
                <w:highlight w:val="none"/>
                <w:lang w:val="en-US" w:eastAsia="zh-CN"/>
              </w:rPr>
              <w:t>5.数据核对校准补充。</w:t>
            </w:r>
            <w:r>
              <w:rPr>
                <w:rFonts w:hint="eastAsia"/>
                <w:color w:val="auto"/>
                <w:spacing w:val="-20"/>
                <w:highlight w:val="none"/>
                <w:lang w:val="en-US" w:eastAsia="zh-CN"/>
              </w:rPr>
              <w:t>由福州市交警支队管理员和各县市区大队道路信息管理员在</w:t>
            </w:r>
            <w:r>
              <w:rPr>
                <w:rFonts w:hint="eastAsia"/>
                <w:color w:val="auto"/>
                <w:spacing w:val="-3"/>
                <w:highlight w:val="none"/>
                <w:lang w:val="en-US" w:eastAsia="zh-CN"/>
              </w:rPr>
              <w:t>福建省交通安全综合服务管理平台</w:t>
            </w:r>
            <w:r>
              <w:rPr>
                <w:rFonts w:hint="eastAsia"/>
                <w:color w:val="auto"/>
                <w:spacing w:val="-20"/>
                <w:highlight w:val="none"/>
                <w:lang w:val="en-US" w:eastAsia="zh-CN"/>
              </w:rPr>
              <w:t>上</w:t>
            </w:r>
            <w:r>
              <w:rPr>
                <w:color w:val="auto"/>
                <w:spacing w:val="-2"/>
                <w:highlight w:val="none"/>
                <w:lang w:eastAsia="zh-CN"/>
              </w:rPr>
              <w:t>开展</w:t>
            </w:r>
            <w:r>
              <w:rPr>
                <w:rFonts w:hint="eastAsia"/>
                <w:color w:val="auto"/>
                <w:spacing w:val="-2"/>
                <w:highlight w:val="none"/>
                <w:lang w:val="en-US" w:eastAsia="zh-CN"/>
              </w:rPr>
              <w:t>数据</w:t>
            </w:r>
            <w:r>
              <w:rPr>
                <w:color w:val="auto"/>
                <w:spacing w:val="-2"/>
                <w:highlight w:val="none"/>
                <w:lang w:eastAsia="zh-CN"/>
              </w:rPr>
              <w:t>核对</w:t>
            </w:r>
            <w:r>
              <w:rPr>
                <w:rFonts w:hint="eastAsia"/>
                <w:color w:val="auto"/>
                <w:spacing w:val="-2"/>
                <w:highlight w:val="none"/>
                <w:lang w:val="en-US" w:eastAsia="zh-CN"/>
              </w:rPr>
              <w:t>校准</w:t>
            </w:r>
            <w:r>
              <w:rPr>
                <w:color w:val="auto"/>
                <w:spacing w:val="-2"/>
                <w:highlight w:val="none"/>
                <w:lang w:eastAsia="zh-CN"/>
              </w:rPr>
              <w:t>。核对</w:t>
            </w:r>
            <w:r>
              <w:rPr>
                <w:rFonts w:hint="eastAsia"/>
                <w:color w:val="auto"/>
                <w:spacing w:val="-2"/>
                <w:highlight w:val="none"/>
                <w:lang w:val="en-US" w:eastAsia="zh-CN"/>
              </w:rPr>
              <w:t>校准</w:t>
            </w:r>
            <w:r>
              <w:rPr>
                <w:color w:val="auto"/>
                <w:spacing w:val="-2"/>
                <w:highlight w:val="none"/>
                <w:lang w:eastAsia="zh-CN"/>
              </w:rPr>
              <w:t>内</w:t>
            </w:r>
            <w:r>
              <w:rPr>
                <w:color w:val="auto"/>
                <w:spacing w:val="-3"/>
                <w:highlight w:val="none"/>
                <w:lang w:eastAsia="zh-CN"/>
              </w:rPr>
              <w:t>容包括确认道路位置、道路名称、道路类型、路段、路口信息是否准确</w:t>
            </w:r>
            <w:r>
              <w:rPr>
                <w:rFonts w:hint="eastAsia"/>
                <w:color w:val="auto"/>
                <w:spacing w:val="-3"/>
                <w:highlight w:val="none"/>
                <w:lang w:eastAsia="zh-CN"/>
              </w:rPr>
              <w:t>。</w:t>
            </w:r>
            <w:r>
              <w:rPr>
                <w:rFonts w:hint="eastAsia"/>
                <w:color w:val="auto"/>
                <w:spacing w:val="-3"/>
                <w:highlight w:val="none"/>
                <w:lang w:val="en-US" w:eastAsia="zh-CN"/>
              </w:rPr>
              <w:t>在校准核对的同时补充路段的道路物理隔离、中央隔离、路面结构等信息。</w:t>
            </w:r>
          </w:p>
          <w:p>
            <w:pPr>
              <w:pStyle w:val="2"/>
              <w:numPr>
                <w:ilvl w:val="0"/>
                <w:numId w:val="0"/>
              </w:numPr>
              <w:spacing w:before="180" w:line="280" w:lineRule="exact"/>
              <w:ind w:left="28" w:right="79" w:firstLine="484" w:firstLineChars="200"/>
              <w:outlineLvl w:val="9"/>
              <w:rPr>
                <w:b w:val="0"/>
                <w:bCs w:val="0"/>
                <w:color w:val="auto"/>
                <w:spacing w:val="-6"/>
                <w:highlight w:val="none"/>
                <w:lang w:eastAsia="zh-CN"/>
              </w:rPr>
            </w:pPr>
            <w:r>
              <w:rPr>
                <w:rFonts w:hint="eastAsia"/>
                <w:b w:val="0"/>
                <w:bCs w:val="0"/>
                <w:color w:val="auto"/>
                <w:spacing w:val="1"/>
                <w:highlight w:val="none"/>
                <w:lang w:val="en-US" w:eastAsia="zh-CN"/>
              </w:rPr>
              <w:t>6.数据应用和更新。</w:t>
            </w:r>
            <w:r>
              <w:rPr>
                <w:rFonts w:hint="eastAsia"/>
                <w:color w:val="auto"/>
                <w:spacing w:val="-2"/>
                <w:highlight w:val="none"/>
                <w:lang w:val="en-US" w:eastAsia="zh-CN"/>
              </w:rPr>
              <w:t>核对后的道路信息会自动同步到部级道路信息资源库，并推送到公安内网的公安交通综合管理应用平台，</w:t>
            </w:r>
            <w:r>
              <w:rPr>
                <w:color w:val="auto"/>
                <w:spacing w:val="-3"/>
                <w:highlight w:val="none"/>
                <w:lang w:eastAsia="zh-CN"/>
              </w:rPr>
              <w:t>用</w:t>
            </w:r>
            <w:r>
              <w:rPr>
                <w:color w:val="auto"/>
                <w:spacing w:val="-4"/>
                <w:highlight w:val="none"/>
                <w:lang w:eastAsia="zh-CN"/>
              </w:rPr>
              <w:t>于保障交通事故</w:t>
            </w:r>
            <w:r>
              <w:rPr>
                <w:rFonts w:hint="eastAsia"/>
                <w:color w:val="auto"/>
                <w:spacing w:val="-4"/>
                <w:highlight w:val="none"/>
                <w:lang w:val="en-US" w:eastAsia="zh-CN"/>
              </w:rPr>
              <w:t>处理</w:t>
            </w:r>
            <w:r>
              <w:rPr>
                <w:color w:val="auto"/>
                <w:spacing w:val="-4"/>
                <w:highlight w:val="none"/>
                <w:lang w:eastAsia="zh-CN"/>
              </w:rPr>
              <w:t>、</w:t>
            </w:r>
            <w:r>
              <w:rPr>
                <w:rFonts w:hint="eastAsia"/>
                <w:color w:val="auto"/>
                <w:spacing w:val="-4"/>
                <w:highlight w:val="none"/>
                <w:lang w:val="en-US" w:eastAsia="zh-CN"/>
              </w:rPr>
              <w:t>交通</w:t>
            </w:r>
            <w:r>
              <w:rPr>
                <w:color w:val="auto"/>
                <w:spacing w:val="-4"/>
                <w:highlight w:val="none"/>
                <w:lang w:eastAsia="zh-CN"/>
              </w:rPr>
              <w:t>违法</w:t>
            </w:r>
            <w:r>
              <w:rPr>
                <w:rFonts w:hint="eastAsia"/>
                <w:color w:val="auto"/>
                <w:spacing w:val="-4"/>
                <w:highlight w:val="none"/>
                <w:lang w:val="en-US" w:eastAsia="zh-CN"/>
              </w:rPr>
              <w:t>查处工作</w:t>
            </w:r>
            <w:r>
              <w:rPr>
                <w:color w:val="auto"/>
                <w:spacing w:val="-4"/>
                <w:highlight w:val="none"/>
                <w:lang w:eastAsia="zh-CN"/>
              </w:rPr>
              <w:t>。</w:t>
            </w:r>
            <w:r>
              <w:rPr>
                <w:rFonts w:hint="eastAsia"/>
                <w:color w:val="auto"/>
                <w:spacing w:val="-4"/>
                <w:highlight w:val="none"/>
                <w:lang w:val="en-US" w:eastAsia="zh-CN"/>
              </w:rPr>
              <w:t>在服务期内，遇有公共道路维护、新建导致道路信息变化的，供应商应结合大队上报信息及时提供数据维护更新服务，要求T+3天内完成道路数据维护更新。</w:t>
            </w:r>
          </w:p>
          <w:p>
            <w:pPr>
              <w:pStyle w:val="2"/>
              <w:numPr>
                <w:ilvl w:val="0"/>
                <w:numId w:val="0"/>
              </w:numPr>
              <w:spacing w:before="180" w:line="280" w:lineRule="exact"/>
              <w:ind w:left="28" w:right="79" w:firstLine="456" w:firstLineChars="200"/>
              <w:outlineLvl w:val="9"/>
              <w:rPr>
                <w:color w:val="auto"/>
                <w:highlight w:val="none"/>
                <w:lang w:eastAsia="zh-CN"/>
              </w:rPr>
            </w:pPr>
            <w:r>
              <w:rPr>
                <w:rFonts w:hint="eastAsia"/>
                <w:b w:val="0"/>
                <w:bCs w:val="0"/>
                <w:color w:val="auto"/>
                <w:spacing w:val="-6"/>
                <w:highlight w:val="none"/>
                <w:lang w:val="en-US" w:eastAsia="zh-CN"/>
              </w:rPr>
              <w:t>二</w:t>
            </w:r>
            <w:r>
              <w:rPr>
                <w:b w:val="0"/>
                <w:bCs w:val="0"/>
                <w:color w:val="auto"/>
                <w:spacing w:val="-6"/>
                <w:highlight w:val="none"/>
                <w:lang w:eastAsia="zh-CN"/>
              </w:rPr>
              <w:t>、</w:t>
            </w:r>
            <w:r>
              <w:rPr>
                <w:rFonts w:hint="eastAsia"/>
                <w:b w:val="0"/>
                <w:bCs w:val="0"/>
                <w:color w:val="auto"/>
                <w:spacing w:val="-6"/>
                <w:highlight w:val="none"/>
                <w:lang w:val="en-US" w:eastAsia="zh-CN"/>
              </w:rPr>
              <w:t>项目</w:t>
            </w:r>
            <w:r>
              <w:rPr>
                <w:b w:val="0"/>
                <w:bCs w:val="0"/>
                <w:color w:val="auto"/>
                <w:spacing w:val="-9"/>
                <w:highlight w:val="none"/>
                <w:lang w:eastAsia="zh-CN"/>
              </w:rPr>
              <w:t>商务要求</w:t>
            </w:r>
          </w:p>
          <w:p>
            <w:pPr>
              <w:pStyle w:val="2"/>
              <w:numPr>
                <w:ilvl w:val="0"/>
                <w:numId w:val="0"/>
              </w:numPr>
              <w:spacing w:before="180" w:line="280" w:lineRule="exact"/>
              <w:ind w:left="28" w:right="79" w:firstLine="484" w:firstLineChars="200"/>
              <w:rPr>
                <w:rFonts w:hint="default"/>
                <w:color w:val="auto"/>
                <w:spacing w:val="-4"/>
                <w:highlight w:val="none"/>
                <w:lang w:val="en-US" w:eastAsia="zh-CN"/>
              </w:rPr>
            </w:pPr>
            <w:r>
              <w:rPr>
                <w:rFonts w:hint="default"/>
                <w:b w:val="0"/>
                <w:bCs w:val="0"/>
                <w:color w:val="auto"/>
                <w:spacing w:val="1"/>
                <w:highlight w:val="none"/>
                <w:lang w:val="en-US" w:eastAsia="zh-CN"/>
              </w:rPr>
              <w:t>1.交付时间：</w:t>
            </w:r>
            <w:r>
              <w:rPr>
                <w:rFonts w:hint="default"/>
                <w:color w:val="auto"/>
                <w:spacing w:val="-4"/>
                <w:highlight w:val="none"/>
                <w:lang w:val="en-US" w:eastAsia="zh-CN"/>
              </w:rPr>
              <w:t>合同签订后1个月内完成首次采集数据的全量交付，并通过服务交付验收。</w:t>
            </w:r>
          </w:p>
          <w:p>
            <w:pPr>
              <w:pStyle w:val="2"/>
              <w:numPr>
                <w:ilvl w:val="0"/>
                <w:numId w:val="0"/>
              </w:numPr>
              <w:spacing w:before="180" w:line="280" w:lineRule="exact"/>
              <w:ind w:left="28" w:right="79" w:firstLine="484" w:firstLineChars="200"/>
              <w:rPr>
                <w:rFonts w:hint="eastAsia"/>
                <w:color w:val="auto"/>
                <w:spacing w:val="-1"/>
                <w:highlight w:val="none"/>
                <w:lang w:val="en-US" w:eastAsia="zh-CN"/>
              </w:rPr>
            </w:pPr>
            <w:r>
              <w:rPr>
                <w:rFonts w:hint="eastAsia"/>
                <w:b w:val="0"/>
                <w:bCs w:val="0"/>
                <w:color w:val="auto"/>
                <w:spacing w:val="1"/>
                <w:highlight w:val="none"/>
                <w:lang w:val="en-US" w:eastAsia="zh-CN"/>
              </w:rPr>
              <w:t>2.服务期：</w:t>
            </w:r>
            <w:r>
              <w:rPr>
                <w:rFonts w:hint="eastAsia"/>
                <w:color w:val="auto"/>
                <w:spacing w:val="-1"/>
                <w:highlight w:val="none"/>
                <w:lang w:val="en-US" w:eastAsia="zh-CN"/>
              </w:rPr>
              <w:t>本项目服务期一年，服务期自通过服务交付验收之日起算。</w:t>
            </w:r>
          </w:p>
          <w:p>
            <w:pPr>
              <w:pStyle w:val="2"/>
              <w:numPr>
                <w:ilvl w:val="0"/>
                <w:numId w:val="0"/>
              </w:numPr>
              <w:spacing w:before="180" w:line="280" w:lineRule="exact"/>
              <w:ind w:left="28" w:right="79" w:firstLine="464" w:firstLineChars="200"/>
              <w:rPr>
                <w:color w:val="auto"/>
                <w:spacing w:val="-2"/>
                <w:highlight w:val="none"/>
                <w:lang w:eastAsia="zh-CN"/>
              </w:rPr>
            </w:pPr>
            <w:r>
              <w:rPr>
                <w:rFonts w:hint="eastAsia"/>
                <w:color w:val="auto"/>
                <w:spacing w:val="-4"/>
                <w:highlight w:val="none"/>
                <w:lang w:val="en-US" w:eastAsia="zh-CN"/>
              </w:rPr>
              <w:t>3</w:t>
            </w:r>
            <w:r>
              <w:rPr>
                <w:rFonts w:hint="eastAsia"/>
                <w:b w:val="0"/>
                <w:bCs w:val="0"/>
                <w:color w:val="auto"/>
                <w:spacing w:val="1"/>
                <w:highlight w:val="none"/>
                <w:lang w:val="en-US" w:eastAsia="zh-CN"/>
              </w:rPr>
              <w:t>.</w:t>
            </w:r>
            <w:r>
              <w:rPr>
                <w:rFonts w:hint="eastAsia"/>
                <w:b w:val="0"/>
                <w:bCs w:val="0"/>
                <w:color w:val="auto"/>
                <w:spacing w:val="1"/>
                <w:highlight w:val="none"/>
                <w:lang w:eastAsia="zh-CN"/>
              </w:rPr>
              <w:t>验收标准、规范：</w:t>
            </w:r>
            <w:r>
              <w:rPr>
                <w:color w:val="auto"/>
                <w:spacing w:val="-1"/>
                <w:highlight w:val="none"/>
                <w:lang w:eastAsia="zh-CN"/>
              </w:rPr>
              <w:t>满足国家、行业现行验收标准</w:t>
            </w:r>
            <w:r>
              <w:rPr>
                <w:rFonts w:hint="eastAsia"/>
                <w:color w:val="auto"/>
                <w:spacing w:val="-1"/>
                <w:highlight w:val="none"/>
                <w:lang w:eastAsia="zh-CN"/>
              </w:rPr>
              <w:t>，</w:t>
            </w:r>
            <w:r>
              <w:rPr>
                <w:color w:val="auto"/>
                <w:spacing w:val="-1"/>
                <w:highlight w:val="none"/>
                <w:lang w:eastAsia="zh-CN"/>
              </w:rPr>
              <w:t>符合公安部交管局</w:t>
            </w:r>
            <w:r>
              <w:rPr>
                <w:rFonts w:hint="eastAsia"/>
                <w:color w:val="auto"/>
                <w:spacing w:val="-1"/>
                <w:highlight w:val="none"/>
                <w:lang w:val="en-US" w:eastAsia="zh-CN"/>
              </w:rPr>
              <w:t>关于</w:t>
            </w:r>
            <w:r>
              <w:rPr>
                <w:color w:val="auto"/>
                <w:spacing w:val="-2"/>
                <w:highlight w:val="none"/>
                <w:lang w:eastAsia="zh-CN"/>
              </w:rPr>
              <w:t>公安交管道路基信息库</w:t>
            </w:r>
            <w:r>
              <w:rPr>
                <w:rFonts w:hint="eastAsia"/>
                <w:color w:val="auto"/>
                <w:spacing w:val="-2"/>
                <w:highlight w:val="none"/>
                <w:lang w:val="en-US" w:eastAsia="zh-CN"/>
              </w:rPr>
              <w:t>建设的相关规范和要求</w:t>
            </w:r>
            <w:r>
              <w:rPr>
                <w:color w:val="auto"/>
                <w:spacing w:val="-2"/>
                <w:highlight w:val="none"/>
                <w:lang w:eastAsia="zh-CN"/>
              </w:rPr>
              <w:t>。</w:t>
            </w:r>
          </w:p>
          <w:p>
            <w:pPr>
              <w:pStyle w:val="2"/>
              <w:widowControl/>
              <w:numPr>
                <w:ilvl w:val="0"/>
                <w:numId w:val="0"/>
              </w:numPr>
              <w:spacing w:before="180" w:line="280" w:lineRule="exact"/>
              <w:ind w:left="28" w:right="79" w:firstLine="484" w:firstLineChars="200"/>
              <w:jc w:val="left"/>
              <w:textAlignment w:val="baseline"/>
              <w:rPr>
                <w:rFonts w:hint="default" w:eastAsia="宋体"/>
                <w:b w:val="0"/>
                <w:bCs w:val="0"/>
                <w:sz w:val="22"/>
                <w:szCs w:val="22"/>
                <w:lang w:val="en-US" w:eastAsia="zh-CN" w:bidi="ar"/>
              </w:rPr>
            </w:pPr>
            <w:r>
              <w:rPr>
                <w:rFonts w:hint="default"/>
                <w:b w:val="0"/>
                <w:bCs w:val="0"/>
                <w:color w:val="auto"/>
                <w:spacing w:val="1"/>
                <w:highlight w:val="none"/>
                <w:lang w:val="en-US" w:eastAsia="zh-CN"/>
              </w:rPr>
              <w:t>4.知识产权：</w:t>
            </w:r>
            <w:r>
              <w:rPr>
                <w:rFonts w:hint="eastAsia" w:ascii="仿宋" w:hAnsi="仿宋" w:eastAsia="仿宋" w:cs="仿宋"/>
                <w:snapToGrid w:val="0"/>
                <w:color w:val="auto"/>
                <w:spacing w:val="-1"/>
                <w:sz w:val="24"/>
                <w:szCs w:val="24"/>
                <w:highlight w:val="none"/>
                <w:lang w:val="en-US" w:eastAsia="zh-CN" w:bidi="ar-SA"/>
              </w:rPr>
              <w:t>供应商</w:t>
            </w:r>
            <w:r>
              <w:rPr>
                <w:rFonts w:hint="default" w:ascii="仿宋" w:hAnsi="仿宋" w:eastAsia="仿宋" w:cs="仿宋"/>
                <w:snapToGrid w:val="0"/>
                <w:color w:val="auto"/>
                <w:spacing w:val="-1"/>
                <w:sz w:val="24"/>
                <w:szCs w:val="24"/>
                <w:highlight w:val="none"/>
                <w:lang w:val="en-US" w:eastAsia="zh-CN" w:bidi="ar-SA"/>
              </w:rPr>
              <w:t>必须保证采购人在使用其成交产物过程的任何时候均不侵犯第三方的知识产权（包括但不限于专利权、商标权、著作权和技术秘密等权利）。若任何第三方针对中标人根据本项目提供的服务行为提出知识产权侵权指控，中标人须与第三方交涉并承担由此而引起的一切法律责任和费用。如果采购人因为第三方的侵权指控遭受了损失（包括但不限于律师费、诉讼费、生效法律文书要求采购人承担法律责任等），采购人有权向中标人追偿。</w:t>
            </w:r>
            <w:r>
              <w:rPr>
                <w:rFonts w:hint="eastAsia" w:ascii="仿宋" w:hAnsi="仿宋" w:eastAsia="仿宋" w:cs="仿宋"/>
                <w:snapToGrid w:val="0"/>
                <w:color w:val="auto"/>
                <w:spacing w:val="-1"/>
                <w:sz w:val="24"/>
                <w:szCs w:val="24"/>
                <w:highlight w:val="none"/>
                <w:lang w:val="en-US" w:eastAsia="zh-CN" w:bidi="ar-SA"/>
              </w:rPr>
              <w:t>供应商提供的数据，经采购人开展数据校准核对补充后，形成的</w:t>
            </w:r>
            <w:r>
              <w:rPr>
                <w:rFonts w:hint="eastAsia" w:ascii="仿宋" w:hAnsi="仿宋" w:eastAsia="仿宋" w:cs="仿宋"/>
                <w:b w:val="0"/>
                <w:bCs w:val="0"/>
                <w:snapToGrid w:val="0"/>
                <w:color w:val="auto"/>
                <w:spacing w:val="-1"/>
                <w:sz w:val="24"/>
                <w:szCs w:val="24"/>
                <w:highlight w:val="none"/>
                <w:lang w:val="en-US" w:eastAsia="zh-CN" w:bidi="ar-SA"/>
              </w:rPr>
              <w:t>“福州市公安交通管理道路基础信息库”的知识产权归采购人所有</w:t>
            </w:r>
            <w:r>
              <w:rPr>
                <w:rFonts w:hint="eastAsia" w:ascii="仿宋" w:hAnsi="仿宋" w:eastAsia="仿宋" w:cs="仿宋"/>
                <w:snapToGrid w:val="0"/>
                <w:color w:val="auto"/>
                <w:spacing w:val="-1"/>
                <w:sz w:val="24"/>
                <w:szCs w:val="24"/>
                <w:highlight w:val="none"/>
                <w:lang w:val="en-US" w:eastAsia="zh-CN" w:bidi="ar-SA"/>
              </w:rPr>
              <w:t>。</w:t>
            </w:r>
          </w:p>
        </w:tc>
        <w:tc>
          <w:tcPr>
            <w:tcW w:w="272" w:type="pct"/>
            <w:tcBorders>
              <w:tl2br w:val="nil"/>
              <w:tr2bl w:val="nil"/>
            </w:tcBorders>
            <w:noWrap/>
            <w:vAlign w:val="center"/>
          </w:tcPr>
          <w:p>
            <w:pPr>
              <w:widowControl/>
              <w:jc w:val="center"/>
              <w:textAlignment w:val="center"/>
              <w:rPr>
                <w:rFonts w:hint="eastAsia" w:hAnsi="宋体" w:cs="宋体"/>
                <w:b w:val="0"/>
                <w:bCs w:val="0"/>
                <w:color w:val="000000"/>
                <w:sz w:val="22"/>
                <w:szCs w:val="22"/>
              </w:rPr>
            </w:pPr>
            <w:r>
              <w:rPr>
                <w:rFonts w:hint="eastAsia" w:hAnsi="宋体" w:cs="宋体"/>
                <w:b w:val="0"/>
                <w:bCs w:val="0"/>
                <w:color w:val="000000"/>
                <w:kern w:val="0"/>
                <w:sz w:val="22"/>
                <w:szCs w:val="22"/>
                <w:lang w:bidi="ar"/>
              </w:rPr>
              <w:t>年</w:t>
            </w:r>
          </w:p>
        </w:tc>
        <w:tc>
          <w:tcPr>
            <w:tcW w:w="233" w:type="pct"/>
            <w:tcBorders>
              <w:tl2br w:val="nil"/>
              <w:tr2bl w:val="nil"/>
            </w:tcBorders>
            <w:noWrap/>
            <w:vAlign w:val="center"/>
          </w:tcPr>
          <w:p>
            <w:pPr>
              <w:widowControl/>
              <w:jc w:val="center"/>
              <w:textAlignment w:val="center"/>
              <w:rPr>
                <w:rFonts w:hint="eastAsia" w:hAnsi="宋体" w:cs="宋体"/>
                <w:b w:val="0"/>
                <w:bCs w:val="0"/>
                <w:color w:val="000000"/>
                <w:sz w:val="22"/>
                <w:szCs w:val="22"/>
              </w:rPr>
            </w:pPr>
            <w:r>
              <w:rPr>
                <w:rFonts w:hint="eastAsia" w:asciiTheme="majorEastAsia" w:hAnsiTheme="majorEastAsia" w:eastAsiaTheme="majorEastAsia" w:cstheme="majorEastAsia"/>
                <w:b w:val="0"/>
                <w:bCs w:val="0"/>
                <w:color w:val="000000"/>
                <w:kern w:val="0"/>
                <w:sz w:val="22"/>
                <w:szCs w:val="22"/>
                <w:lang w:bidi="ar"/>
              </w:rPr>
              <w:t>1</w:t>
            </w:r>
          </w:p>
        </w:tc>
        <w:tc>
          <w:tcPr>
            <w:tcW w:w="843" w:type="pct"/>
            <w:tcBorders>
              <w:tl2br w:val="nil"/>
              <w:tr2bl w:val="nil"/>
            </w:tcBorders>
            <w:noWrap/>
            <w:vAlign w:val="center"/>
          </w:tcPr>
          <w:p>
            <w:pPr>
              <w:widowControl/>
              <w:jc w:val="center"/>
              <w:textAlignment w:val="center"/>
              <w:rPr>
                <w:rFonts w:hint="eastAsia" w:hAnsi="宋体" w:cs="宋体"/>
                <w:b w:val="0"/>
                <w:bCs w:val="0"/>
                <w:color w:val="000000"/>
                <w:kern w:val="0"/>
                <w:sz w:val="22"/>
                <w:szCs w:val="22"/>
                <w:lang w:bidi="ar"/>
              </w:rPr>
            </w:pPr>
          </w:p>
        </w:tc>
      </w:tr>
    </w:tbl>
    <w:p>
      <w:pPr>
        <w:jc w:val="both"/>
        <w:rPr>
          <w:rFonts w:hint="eastAsia"/>
          <w:sz w:val="28"/>
          <w:szCs w:val="28"/>
          <w:lang w:val="en-US" w:eastAsia="zh-CN"/>
        </w:rPr>
      </w:pPr>
    </w:p>
    <w:p>
      <w:pPr>
        <w:jc w:val="both"/>
        <w:rPr>
          <w:rFonts w:hint="eastAsia"/>
          <w:sz w:val="28"/>
          <w:szCs w:val="28"/>
          <w:u w:val="single"/>
          <w:lang w:val="en-US" w:eastAsia="zh-CN"/>
        </w:rPr>
      </w:pPr>
      <w:r>
        <w:rPr>
          <w:rFonts w:hint="eastAsia"/>
          <w:spacing w:val="28"/>
          <w:sz w:val="28"/>
          <w:szCs w:val="28"/>
          <w:lang w:val="en-US" w:eastAsia="zh-CN"/>
        </w:rPr>
        <w:t>报价人名称：</w:t>
      </w:r>
      <w:r>
        <w:rPr>
          <w:rFonts w:hint="eastAsia"/>
          <w:sz w:val="28"/>
          <w:szCs w:val="28"/>
          <w:u w:val="single"/>
          <w:lang w:val="en-US" w:eastAsia="zh-CN"/>
        </w:rPr>
        <w:t xml:space="preserve">                      （盖章）</w:t>
      </w:r>
    </w:p>
    <w:p>
      <w:pPr>
        <w:jc w:val="both"/>
        <w:rPr>
          <w:rFonts w:hint="eastAsia"/>
          <w:sz w:val="28"/>
          <w:szCs w:val="28"/>
          <w:u w:val="single"/>
          <w:lang w:val="en-US" w:eastAsia="zh-CN"/>
        </w:rPr>
      </w:pPr>
    </w:p>
    <w:p>
      <w:pPr>
        <w:jc w:val="both"/>
        <w:rPr>
          <w:rFonts w:hint="eastAsia"/>
          <w:sz w:val="28"/>
          <w:szCs w:val="28"/>
          <w:u w:val="single"/>
          <w:lang w:val="en-US" w:eastAsia="zh-CN"/>
        </w:rPr>
      </w:pPr>
      <w:r>
        <w:rPr>
          <w:rFonts w:hint="eastAsia"/>
          <w:sz w:val="28"/>
          <w:szCs w:val="28"/>
          <w:u w:val="none"/>
          <w:lang w:val="en-US" w:eastAsia="zh-CN"/>
        </w:rPr>
        <w:t>联系人及电话：</w:t>
      </w:r>
      <w:r>
        <w:rPr>
          <w:rFonts w:hint="eastAsia"/>
          <w:sz w:val="28"/>
          <w:szCs w:val="28"/>
          <w:u w:val="single"/>
          <w:lang w:val="en-US" w:eastAsia="zh-CN"/>
        </w:rPr>
        <w:t xml:space="preserve">                                   </w:t>
      </w:r>
    </w:p>
    <w:p>
      <w:pPr>
        <w:jc w:val="both"/>
        <w:rPr>
          <w:rFonts w:hint="default"/>
          <w:sz w:val="28"/>
          <w:szCs w:val="28"/>
          <w:u w:val="single"/>
          <w:lang w:val="en-US" w:eastAsia="zh-CN"/>
        </w:rPr>
      </w:pPr>
    </w:p>
    <w:p>
      <w:pPr>
        <w:jc w:val="both"/>
        <w:rPr>
          <w:rFonts w:hint="eastAsia"/>
          <w:sz w:val="28"/>
          <w:szCs w:val="28"/>
          <w:u w:val="single"/>
          <w:lang w:val="en-US" w:eastAsia="zh-CN"/>
        </w:rPr>
      </w:pPr>
      <w:r>
        <w:rPr>
          <w:rFonts w:hint="eastAsia"/>
          <w:sz w:val="28"/>
          <w:szCs w:val="28"/>
          <w:u w:val="none"/>
          <w:lang w:val="en-US" w:eastAsia="zh-CN"/>
        </w:rPr>
        <w:t>日        期：</w:t>
      </w:r>
      <w:r>
        <w:rPr>
          <w:rFonts w:hint="eastAsia"/>
          <w:sz w:val="28"/>
          <w:szCs w:val="28"/>
          <w:u w:val="single"/>
          <w:lang w:val="en-US" w:eastAsia="zh-CN"/>
        </w:rPr>
        <w:t xml:space="preserve">            年        月          日 </w:t>
      </w:r>
    </w:p>
    <w:p>
      <w:pPr>
        <w:jc w:val="both"/>
        <w:rPr>
          <w:rFonts w:hint="eastAsia"/>
          <w:sz w:val="28"/>
          <w:szCs w:val="28"/>
          <w:u w:val="single"/>
          <w:lang w:val="en-US" w:eastAsia="zh-CN"/>
        </w:rPr>
      </w:pPr>
    </w:p>
    <w:p>
      <w:pPr>
        <w:jc w:val="both"/>
        <w:rPr>
          <w:rFonts w:hint="default"/>
          <w:sz w:val="28"/>
          <w:szCs w:val="28"/>
          <w:u w:val="none"/>
          <w:lang w:val="en-US" w:eastAsia="zh-CN"/>
        </w:rPr>
      </w:pPr>
      <w:r>
        <w:rPr>
          <w:rFonts w:hint="eastAsia"/>
          <w:sz w:val="28"/>
          <w:szCs w:val="28"/>
          <w:u w:val="none"/>
          <w:lang w:val="en-US" w:eastAsia="zh-CN"/>
        </w:rPr>
        <w:t>报价单位属性：</w:t>
      </w:r>
      <w:r>
        <w:rPr>
          <w:rFonts w:hint="eastAsia"/>
          <w:spacing w:val="0"/>
          <w:sz w:val="28"/>
          <w:szCs w:val="28"/>
          <w:u w:val="none"/>
          <w:lang w:val="en-US" w:eastAsia="zh-CN"/>
        </w:rPr>
        <w:t>我司属于</w:t>
      </w:r>
      <w:r>
        <w:rPr>
          <w:rFonts w:hint="eastAsia"/>
          <w:spacing w:val="0"/>
          <w:sz w:val="28"/>
          <w:szCs w:val="28"/>
          <w:u w:val="single"/>
          <w:lang w:val="en-US" w:eastAsia="zh-CN"/>
        </w:rPr>
        <w:t xml:space="preserve">                              </w:t>
      </w:r>
      <w:r>
        <w:rPr>
          <w:rFonts w:hint="eastAsia"/>
          <w:spacing w:val="0"/>
          <w:sz w:val="28"/>
          <w:szCs w:val="28"/>
          <w:u w:val="none"/>
          <w:lang w:val="en-US" w:eastAsia="zh-CN"/>
        </w:rPr>
        <w:t>企</w:t>
      </w:r>
      <w:r>
        <w:rPr>
          <w:rFonts w:hint="eastAsia"/>
          <w:sz w:val="28"/>
          <w:szCs w:val="28"/>
          <w:u w:val="none"/>
          <w:lang w:val="en-US" w:eastAsia="zh-CN"/>
        </w:rPr>
        <w:t>业。</w:t>
      </w:r>
    </w:p>
    <w:p>
      <w:pPr>
        <w:pStyle w:val="2"/>
        <w:spacing w:before="287" w:line="219" w:lineRule="auto"/>
        <w:ind w:left="32"/>
      </w:pPr>
      <w:r>
        <w:rPr>
          <w:spacing w:val="-12"/>
        </w:rPr>
        <w:t>填写说明：</w:t>
      </w:r>
    </w:p>
    <w:p>
      <w:pPr>
        <w:pStyle w:val="2"/>
        <w:spacing w:before="287" w:line="217" w:lineRule="auto"/>
        <w:ind w:left="40"/>
        <w:rPr>
          <w:lang w:eastAsia="zh-CN"/>
        </w:rPr>
      </w:pPr>
      <w:r>
        <w:rPr>
          <w:spacing w:val="-3"/>
          <w:lang w:eastAsia="zh-CN"/>
        </w:rPr>
        <w:t>1、报价一览表必须加盖</w:t>
      </w:r>
      <w:r>
        <w:rPr>
          <w:rFonts w:hint="eastAsia"/>
          <w:spacing w:val="-3"/>
          <w:lang w:val="en-US" w:eastAsia="zh-CN"/>
        </w:rPr>
        <w:t>报价</w:t>
      </w:r>
      <w:r>
        <w:rPr>
          <w:spacing w:val="-3"/>
          <w:lang w:eastAsia="zh-CN"/>
        </w:rPr>
        <w:t>单位公章。</w:t>
      </w:r>
    </w:p>
    <w:p>
      <w:pPr>
        <w:spacing w:line="217" w:lineRule="auto"/>
        <w:rPr>
          <w:rFonts w:ascii="仿宋" w:hAnsi="仿宋" w:eastAsia="仿宋" w:cs="仿宋"/>
          <w:snapToGrid w:val="0"/>
          <w:color w:val="000000"/>
          <w:spacing w:val="-3"/>
          <w:sz w:val="24"/>
          <w:szCs w:val="24"/>
          <w:lang w:val="en-US" w:eastAsia="zh-CN" w:bidi="ar-SA"/>
        </w:rPr>
      </w:pPr>
    </w:p>
    <w:p>
      <w:pPr>
        <w:spacing w:line="217" w:lineRule="auto"/>
        <w:rPr>
          <w:rFonts w:hint="eastAsia" w:ascii="仿宋" w:hAnsi="仿宋" w:eastAsia="仿宋" w:cs="仿宋"/>
          <w:snapToGrid w:val="0"/>
          <w:color w:val="000000"/>
          <w:spacing w:val="-3"/>
          <w:sz w:val="24"/>
          <w:szCs w:val="24"/>
          <w:highlight w:val="yellow"/>
          <w:lang w:val="en-US" w:eastAsia="zh-CN" w:bidi="ar-SA"/>
        </w:rPr>
      </w:pPr>
      <w:r>
        <w:rPr>
          <w:rFonts w:hint="eastAsia" w:ascii="仿宋" w:hAnsi="仿宋" w:eastAsia="仿宋" w:cs="仿宋"/>
          <w:snapToGrid w:val="0"/>
          <w:color w:val="000000"/>
          <w:spacing w:val="-3"/>
          <w:sz w:val="24"/>
          <w:szCs w:val="24"/>
          <w:lang w:val="en-US" w:eastAsia="zh-CN" w:bidi="ar-SA"/>
        </w:rPr>
        <w:t>2、报价</w:t>
      </w:r>
      <w:r>
        <w:rPr>
          <w:rFonts w:hint="eastAsia" w:ascii="仿宋" w:hAnsi="仿宋" w:eastAsia="仿宋" w:cs="仿宋"/>
          <w:snapToGrid w:val="0"/>
          <w:color w:val="000000"/>
          <w:spacing w:val="-3"/>
          <w:sz w:val="24"/>
          <w:szCs w:val="24"/>
          <w:highlight w:val="none"/>
          <w:lang w:val="en-US" w:eastAsia="zh-CN" w:bidi="ar-SA"/>
        </w:rPr>
        <w:t>单位属性一栏请根据实际情况填写大型企业或中小微企业。</w:t>
      </w:r>
    </w:p>
    <w:sectPr>
      <w:footerReference r:id="rId3" w:type="default"/>
      <w:pgSz w:w="11907" w:h="16839"/>
      <w:pgMar w:top="1431" w:right="871" w:bottom="1179" w:left="1250" w:header="0" w:footer="946"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9" w:lineRule="auto"/>
      <w:ind w:left="421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OTIxMzUxYWU1NTIxZmNjN2JmNDIzYmM0ZmQyMzdiOWQifQ=="/>
  </w:docVars>
  <w:rsids>
    <w:rsidRoot w:val="00651647"/>
    <w:rsid w:val="00651647"/>
    <w:rsid w:val="006F3D43"/>
    <w:rsid w:val="00B441FA"/>
    <w:rsid w:val="03BA1EC3"/>
    <w:rsid w:val="06D05B2E"/>
    <w:rsid w:val="0BF3147E"/>
    <w:rsid w:val="0CAD3717"/>
    <w:rsid w:val="0CCC6D98"/>
    <w:rsid w:val="0CEE34CF"/>
    <w:rsid w:val="0CEF563F"/>
    <w:rsid w:val="102258BD"/>
    <w:rsid w:val="108547E4"/>
    <w:rsid w:val="13706BF0"/>
    <w:rsid w:val="169C5A2D"/>
    <w:rsid w:val="19B238D5"/>
    <w:rsid w:val="1DD6430F"/>
    <w:rsid w:val="1F680EB4"/>
    <w:rsid w:val="2676497C"/>
    <w:rsid w:val="2730616D"/>
    <w:rsid w:val="2AD03A9F"/>
    <w:rsid w:val="2DED5D33"/>
    <w:rsid w:val="2F9559FC"/>
    <w:rsid w:val="2FB57666"/>
    <w:rsid w:val="303A7BAF"/>
    <w:rsid w:val="332069F6"/>
    <w:rsid w:val="454B2248"/>
    <w:rsid w:val="47FC13A5"/>
    <w:rsid w:val="508F0802"/>
    <w:rsid w:val="53566988"/>
    <w:rsid w:val="563A55A5"/>
    <w:rsid w:val="5D9E610B"/>
    <w:rsid w:val="5F3833E6"/>
    <w:rsid w:val="5F584B3E"/>
    <w:rsid w:val="62606EDB"/>
    <w:rsid w:val="6B654C9D"/>
    <w:rsid w:val="72345C8F"/>
    <w:rsid w:val="72D41001"/>
    <w:rsid w:val="7352461E"/>
    <w:rsid w:val="73AD40FA"/>
    <w:rsid w:val="7485266C"/>
    <w:rsid w:val="7CDD3950"/>
    <w:rsid w:val="7DCA4A14"/>
    <w:rsid w:val="7DEC38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仿宋" w:hAnsi="仿宋" w:eastAsia="仿宋" w:cs="仿宋"/>
    </w:rPr>
  </w:style>
  <w:style w:type="paragraph" w:customStyle="1" w:styleId="10">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BAIDU</Company>
  <Pages>8</Pages>
  <Words>4434</Words>
  <Characters>4591</Characters>
  <Lines>26</Lines>
  <Paragraphs>7</Paragraphs>
  <TotalTime>1</TotalTime>
  <ScaleCrop>false</ScaleCrop>
  <LinksUpToDate>false</LinksUpToDate>
  <CharactersWithSpaces>4806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2025-12-04T14:59:00Z</dcterms:created>
  <dc:creator>郝洪涛</dc:creator>
  <cp:lastModifiedBy>Administrator</cp:lastModifiedBy>
  <dcterms:modified xsi:type="dcterms:W3CDTF">2026-07-15T06:57:00Z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2025-12-05T11:31:49Z</vt:filetime>
  </property>
  <property fmtid="{D5CDD505-2E9C-101B-9397-08002B2CF9AE}" pid="4" name="KSOProductBuildVer">
    <vt:lpwstr>2052-12.1.0.15374</vt:lpwstr>
  </property>
  <property fmtid="{D5CDD505-2E9C-101B-9397-08002B2CF9AE}" pid="5" name="ICV">
    <vt:lpwstr>A9948E980694498284B338B79992419C_13</vt:lpwstr>
  </property>
  <property fmtid="{D5CDD505-2E9C-101B-9397-08002B2CF9AE}" pid="6" name="KSOTemplateDocerSaveRecord">
    <vt:lpwstr>eyJoZGlkIjoiM2VjOTQyMGQ3NzdmZTU0MzI1OTJiODhmYmIwM2RhMzUiLCJ1c2VySWQiOiI5OTI3NjIzMTcifQ==</vt:lpwstr>
  </property>
</Properties>
</file>