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B16415">
      <w:pPr>
        <w:spacing w:line="240" w:lineRule="auto"/>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附件1：</w:t>
      </w:r>
    </w:p>
    <w:p w14:paraId="77632DC8">
      <w:pPr>
        <w:pStyle w:val="4"/>
        <w:spacing w:before="277" w:line="500" w:lineRule="exact"/>
        <w:jc w:val="center"/>
        <w:outlineLvl w:val="0"/>
        <w:rPr>
          <w:b w:val="0"/>
          <w:bCs w:val="0"/>
          <w:color w:val="000000" w:themeColor="text1"/>
          <w:sz w:val="36"/>
          <w:szCs w:val="36"/>
          <w:highlight w:val="none"/>
          <w:lang w:eastAsia="zh-CN"/>
          <w14:textFill>
            <w14:solidFill>
              <w14:schemeClr w14:val="tx1"/>
            </w14:solidFill>
          </w14:textFill>
        </w:rPr>
      </w:pPr>
      <w:r>
        <w:rPr>
          <w:rFonts w:hint="eastAsia"/>
          <w:b w:val="0"/>
          <w:bCs w:val="0"/>
          <w:color w:val="000000" w:themeColor="text1"/>
          <w:spacing w:val="-4"/>
          <w:sz w:val="36"/>
          <w:szCs w:val="36"/>
          <w:highlight w:val="none"/>
          <w:lang w:val="en-US" w:eastAsia="zh-CN"/>
          <w14:textFill>
            <w14:solidFill>
              <w14:schemeClr w14:val="tx1"/>
            </w14:solidFill>
          </w14:textFill>
        </w:rPr>
        <w:t>道路交通安全违法行为简易程序行政处罚远程视频执法技术支撑服务要求</w:t>
      </w:r>
    </w:p>
    <w:p w14:paraId="1303D3F3">
      <w:pPr>
        <w:spacing w:line="500" w:lineRule="exact"/>
        <w:rPr>
          <w:b w:val="0"/>
          <w:bCs w:val="0"/>
          <w:color w:val="000000" w:themeColor="text1"/>
          <w:highlight w:val="none"/>
          <w:lang w:eastAsia="zh-CN"/>
          <w14:textFill>
            <w14:solidFill>
              <w14:schemeClr w14:val="tx1"/>
            </w14:solidFill>
          </w14:textFill>
        </w:rPr>
      </w:pPr>
    </w:p>
    <w:p w14:paraId="10508DC8">
      <w:pPr>
        <w:pStyle w:val="4"/>
        <w:spacing w:before="78" w:line="500" w:lineRule="exact"/>
        <w:ind w:left="34"/>
        <w:outlineLvl w:val="1"/>
        <w:rPr>
          <w:rFonts w:hint="eastAsia" w:ascii="仿宋_GB2312" w:hAnsi="宋体" w:eastAsia="仿宋_GB2312" w:cs="仿宋_GB2312"/>
          <w:b w:val="0"/>
          <w:bCs w:val="0"/>
          <w:color w:val="000000" w:themeColor="text1"/>
          <w:sz w:val="32"/>
          <w:szCs w:val="32"/>
          <w:highlight w:val="none"/>
          <w:shd w:val="clear" w:fill="FFFFFF"/>
          <w:lang w:eastAsia="zh-CN"/>
          <w14:textFill>
            <w14:solidFill>
              <w14:schemeClr w14:val="tx1"/>
            </w14:solidFill>
          </w14:textFill>
        </w:rPr>
      </w:pP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一、项目基本情况</w:t>
      </w:r>
    </w:p>
    <w:p w14:paraId="482C6145">
      <w:pPr>
        <w:pStyle w:val="4"/>
        <w:spacing w:before="272" w:line="500" w:lineRule="exact"/>
        <w:ind w:left="34" w:right="159" w:firstLine="475"/>
        <w:jc w:val="both"/>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pP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项目名称：</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道路交通安全违法行为简易程序行政处罚远程视频执法技术支撑服务项目</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w:t>
      </w:r>
    </w:p>
    <w:p w14:paraId="01D449E5">
      <w:pPr>
        <w:pStyle w:val="4"/>
        <w:spacing w:before="272" w:line="500" w:lineRule="exact"/>
        <w:ind w:left="34" w:right="159" w:firstLine="475"/>
        <w:jc w:val="both"/>
        <w:rPr>
          <w:rFonts w:hint="eastAsia" w:ascii="仿宋_GB2312" w:hAnsi="宋体" w:eastAsia="仿宋_GB2312" w:cs="仿宋_GB2312"/>
          <w:b w:val="0"/>
          <w:bCs w:val="0"/>
          <w:i w:val="0"/>
          <w:iCs w:val="0"/>
          <w:cap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总体</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需求：</w:t>
      </w:r>
      <w:r>
        <w:rPr>
          <w:rFonts w:hint="eastAsia" w:ascii="仿宋_GB2312" w:hAnsi="宋体" w:eastAsia="仿宋_GB2312" w:cs="仿宋_GB2312"/>
          <w:b w:val="0"/>
          <w:bCs w:val="0"/>
          <w:i w:val="0"/>
          <w:iCs w:val="0"/>
          <w:caps w:val="0"/>
          <w:color w:val="000000" w:themeColor="text1"/>
          <w:spacing w:val="0"/>
          <w:sz w:val="32"/>
          <w:szCs w:val="32"/>
          <w:highlight w:val="none"/>
          <w:shd w:val="clear" w:fill="FFFFFF"/>
          <w:lang w:val="en-US" w:eastAsia="zh-CN"/>
          <w14:textFill>
            <w14:solidFill>
              <w14:schemeClr w14:val="tx1"/>
            </w14:solidFill>
          </w14:textFill>
        </w:rPr>
        <w:t>本项目为</w:t>
      </w:r>
      <w:r>
        <w:rPr>
          <w:rFonts w:hint="eastAsia" w:ascii="仿宋_GB2312" w:hAnsi="宋体" w:eastAsia="仿宋_GB2312" w:cs="仿宋_GB2312"/>
          <w:b w:val="0"/>
          <w:bCs w:val="0"/>
          <w:i w:val="0"/>
          <w:iCs w:val="0"/>
          <w:caps w:val="0"/>
          <w:snapToGrid w:val="0"/>
          <w:color w:val="000000" w:themeColor="text1"/>
          <w:spacing w:val="0"/>
          <w:sz w:val="32"/>
          <w:szCs w:val="32"/>
          <w:highlight w:val="none"/>
          <w:shd w:val="clear" w:fill="FFFFFF"/>
          <w:lang w:val="en-US" w:eastAsia="zh-CN" w:bidi="ar-SA"/>
          <w14:textFill>
            <w14:solidFill>
              <w14:schemeClr w14:val="tx1"/>
            </w14:solidFill>
          </w14:textFill>
        </w:rPr>
        <w:t>福州市公安局交通管理支队在城区针对适用简易程序行政处罚的道路交通安全违法行为推行远程视频执法提供技术支撑服务，</w:t>
      </w:r>
      <w:r>
        <w:rPr>
          <w:rFonts w:hint="eastAsia" w:ascii="仿宋_GB2312" w:hAnsi="宋体" w:eastAsia="仿宋_GB2312" w:cs="仿宋_GB2312"/>
          <w:b w:val="0"/>
          <w:bCs w:val="0"/>
          <w:i w:val="0"/>
          <w:iCs w:val="0"/>
          <w:caps w:val="0"/>
          <w:color w:val="000000" w:themeColor="text1"/>
          <w:spacing w:val="0"/>
          <w:sz w:val="32"/>
          <w:szCs w:val="32"/>
          <w:highlight w:val="none"/>
          <w:shd w:val="clear" w:fill="FFFFFF"/>
          <w:lang w:val="en-US" w:eastAsia="zh-CN"/>
          <w14:textFill>
            <w14:solidFill>
              <w14:schemeClr w14:val="tx1"/>
            </w14:solidFill>
          </w14:textFill>
        </w:rPr>
        <w:t>提供包括远程音视频交互、违法处罚前告知、违法行为人电子签名、交通违法行政处罚决定书打印送达、违法数据采集、违法数据核对、违法数据上传、远程执法数据存储等技术支撑服务。本项目服务期一年，服务期自通过交付验收之日起算。</w:t>
      </w:r>
    </w:p>
    <w:p w14:paraId="7D6A2EBE">
      <w:pPr>
        <w:pStyle w:val="4"/>
        <w:spacing w:before="78" w:line="500" w:lineRule="exact"/>
        <w:ind w:left="34"/>
        <w:outlineLvl w:val="1"/>
        <w:rPr>
          <w:rFonts w:hint="eastAsia" w:ascii="仿宋_GB2312" w:hAnsi="宋体" w:eastAsia="仿宋_GB2312" w:cs="仿宋_GB2312"/>
          <w:b w:val="0"/>
          <w:bCs w:val="0"/>
          <w:color w:val="000000" w:themeColor="text1"/>
          <w:sz w:val="32"/>
          <w:szCs w:val="32"/>
          <w:highlight w:val="none"/>
          <w:shd w:val="clear" w:fill="FFFFFF"/>
          <w:lang w:eastAsia="zh-CN"/>
          <w14:textFill>
            <w14:solidFill>
              <w14:schemeClr w14:val="tx1"/>
            </w14:solidFill>
          </w14:textFill>
        </w:rPr>
      </w:pP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二</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项目</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背景</w:t>
      </w:r>
    </w:p>
    <w:p w14:paraId="59701538">
      <w:pPr>
        <w:pStyle w:val="4"/>
        <w:spacing w:before="185" w:line="500" w:lineRule="exact"/>
        <w:ind w:left="29" w:firstLine="511"/>
        <w:jc w:val="both"/>
        <w:rPr>
          <w:rFonts w:hint="eastAsia" w:ascii="仿宋_GB2312" w:hAnsi="宋体" w:eastAsia="仿宋_GB2312" w:cs="仿宋_GB2312"/>
          <w:b w:val="0"/>
          <w:bCs w:val="0"/>
          <w:color w:val="000000" w:themeColor="text1"/>
          <w:sz w:val="32"/>
          <w:szCs w:val="32"/>
          <w:highlight w:val="none"/>
          <w:shd w:val="clear" w:fill="FFFFFF"/>
          <w:lang w:eastAsia="zh-CN"/>
          <w14:textFill>
            <w14:solidFill>
              <w14:schemeClr w14:val="tx1"/>
            </w14:solidFill>
          </w14:textFill>
        </w:rPr>
      </w:pPr>
      <w:r>
        <w:rPr>
          <w:rFonts w:hint="eastAsia" w:ascii="仿宋_GB2312" w:hAnsi="宋体" w:eastAsia="仿宋_GB2312" w:cs="仿宋_GB2312"/>
          <w:color w:val="000000" w:themeColor="text1"/>
          <w:sz w:val="32"/>
          <w:szCs w:val="32"/>
          <w:highlight w:val="none"/>
          <w:shd w:val="clear" w:fill="FFFFFF"/>
          <w:lang w:eastAsia="zh-CN"/>
          <w14:textFill>
            <w14:solidFill>
              <w14:schemeClr w14:val="tx1"/>
            </w14:solidFill>
          </w14:textFill>
        </w:rPr>
        <w:t>近年来，</w:t>
      </w:r>
      <w:r>
        <w:rPr>
          <w:rFonts w:hint="eastAsia" w:ascii="仿宋_GB2312" w:hAnsi="宋体" w:eastAsia="仿宋_GB2312" w:cs="仿宋_GB2312"/>
          <w:color w:val="000000" w:themeColor="text1"/>
          <w:sz w:val="32"/>
          <w:szCs w:val="32"/>
          <w:highlight w:val="none"/>
          <w:shd w:val="clear" w:fill="FFFFFF"/>
          <w:lang w:val="en-US" w:eastAsia="zh-CN"/>
          <w14:textFill>
            <w14:solidFill>
              <w14:schemeClr w14:val="tx1"/>
            </w14:solidFill>
          </w14:textFill>
        </w:rPr>
        <w:t>随着机动车和电动自行车保有量的不断增加，道路交通安全管理工作愈加繁重，</w:t>
      </w:r>
      <w:r>
        <w:rPr>
          <w:rFonts w:hint="eastAsia" w:ascii="仿宋_GB2312" w:hAnsi="宋体" w:eastAsia="仿宋_GB2312" w:cs="仿宋_GB2312"/>
          <w:color w:val="000000" w:themeColor="text1"/>
          <w:sz w:val="32"/>
          <w:szCs w:val="32"/>
          <w:highlight w:val="none"/>
          <w:shd w:val="clear" w:fill="FFFFFF"/>
          <w:lang w:eastAsia="zh-CN"/>
          <w14:textFill>
            <w14:solidFill>
              <w14:schemeClr w14:val="tx1"/>
            </w14:solidFill>
          </w14:textFill>
        </w:rPr>
        <w:t>普遍</w:t>
      </w:r>
      <w:r>
        <w:rPr>
          <w:rFonts w:hint="eastAsia" w:ascii="仿宋_GB2312" w:hAnsi="宋体" w:eastAsia="仿宋_GB2312" w:cs="仿宋_GB2312"/>
          <w:color w:val="000000" w:themeColor="text1"/>
          <w:sz w:val="32"/>
          <w:szCs w:val="32"/>
          <w:highlight w:val="none"/>
          <w:shd w:val="clear" w:fill="FFFFFF"/>
          <w:lang w:val="en-US" w:eastAsia="zh-CN"/>
          <w14:textFill>
            <w14:solidFill>
              <w14:schemeClr w14:val="tx1"/>
            </w14:solidFill>
          </w14:textFill>
        </w:rPr>
        <w:t>存在一线路面民警警力紧张的问题</w:t>
      </w:r>
      <w:r>
        <w:rPr>
          <w:rFonts w:hint="eastAsia" w:ascii="仿宋_GB2312" w:hAnsi="宋体" w:eastAsia="仿宋_GB2312" w:cs="仿宋_GB2312"/>
          <w:color w:val="000000" w:themeColor="text1"/>
          <w:sz w:val="32"/>
          <w:szCs w:val="32"/>
          <w:highlight w:val="none"/>
          <w:shd w:val="clear" w:fill="FFFFFF"/>
          <w:lang w:eastAsia="zh-CN"/>
          <w14:textFill>
            <w14:solidFill>
              <w14:schemeClr w14:val="tx1"/>
            </w14:solidFill>
          </w14:textFill>
        </w:rPr>
        <w:t>，特别是2021年7月正式实施</w:t>
      </w:r>
      <w:r>
        <w:rPr>
          <w:rFonts w:hint="eastAsia" w:ascii="仿宋_GB2312" w:hAnsi="宋体" w:eastAsia="仿宋_GB2312" w:cs="仿宋_GB2312"/>
          <w:color w:val="000000" w:themeColor="text1"/>
          <w:sz w:val="32"/>
          <w:szCs w:val="32"/>
          <w:highlight w:val="none"/>
          <w:shd w:val="clear" w:fill="FFFFFF"/>
          <w:lang w:val="en-US" w:eastAsia="zh-CN"/>
          <w14:textFill>
            <w14:solidFill>
              <w14:schemeClr w14:val="tx1"/>
            </w14:solidFill>
          </w14:textFill>
        </w:rPr>
        <w:t>修订后的</w:t>
      </w:r>
      <w:r>
        <w:rPr>
          <w:rFonts w:hint="eastAsia" w:ascii="仿宋_GB2312" w:hAnsi="宋体" w:eastAsia="仿宋_GB2312" w:cs="仿宋_GB2312"/>
          <w:color w:val="000000" w:themeColor="text1"/>
          <w:sz w:val="32"/>
          <w:szCs w:val="32"/>
          <w:highlight w:val="none"/>
          <w:shd w:val="clear" w:fill="FFFFFF"/>
          <w:lang w:eastAsia="zh-CN"/>
          <w14:textFill>
            <w14:solidFill>
              <w14:schemeClr w14:val="tx1"/>
            </w14:solidFill>
          </w14:textFill>
        </w:rPr>
        <w:t>《</w:t>
      </w:r>
      <w:bookmarkStart w:id="0" w:name="_GoBack"/>
      <w:bookmarkEnd w:id="0"/>
      <w:r>
        <w:rPr>
          <w:rFonts w:hint="eastAsia" w:ascii="仿宋_GB2312" w:hAnsi="宋体" w:eastAsia="仿宋_GB2312" w:cs="仿宋_GB2312"/>
          <w:color w:val="000000" w:themeColor="text1"/>
          <w:sz w:val="32"/>
          <w:szCs w:val="32"/>
          <w:highlight w:val="none"/>
          <w:shd w:val="clear" w:fill="FFFFFF"/>
          <w:lang w:eastAsia="zh-CN"/>
          <w14:textFill>
            <w14:solidFill>
              <w14:schemeClr w14:val="tx1"/>
            </w14:solidFill>
          </w14:textFill>
        </w:rPr>
        <w:t>中华人民共和国行政处罚法》明确规定，行政处罚必须由2名以上执法人员实施，</w:t>
      </w:r>
      <w:r>
        <w:rPr>
          <w:rFonts w:hint="eastAsia" w:ascii="仿宋_GB2312" w:hAnsi="宋体" w:eastAsia="仿宋_GB2312" w:cs="仿宋_GB2312"/>
          <w:color w:val="000000" w:themeColor="text1"/>
          <w:sz w:val="32"/>
          <w:szCs w:val="32"/>
          <w:highlight w:val="none"/>
          <w:shd w:val="clear" w:fill="FFFFFF"/>
          <w:lang w:val="en-US" w:eastAsia="zh-CN"/>
          <w14:textFill>
            <w14:solidFill>
              <w14:schemeClr w14:val="tx1"/>
            </w14:solidFill>
          </w14:textFill>
        </w:rPr>
        <w:t>对路面交通执法提出了更高的要求，</w:t>
      </w:r>
      <w:r>
        <w:rPr>
          <w:rFonts w:hint="eastAsia" w:ascii="仿宋_GB2312" w:hAnsi="宋体" w:eastAsia="仿宋_GB2312" w:cs="仿宋_GB2312"/>
          <w:color w:val="000000" w:themeColor="text1"/>
          <w:sz w:val="32"/>
          <w:szCs w:val="32"/>
          <w:highlight w:val="none"/>
          <w:shd w:val="clear" w:fill="FFFFFF"/>
          <w:lang w:eastAsia="zh-CN"/>
          <w14:textFill>
            <w14:solidFill>
              <w14:schemeClr w14:val="tx1"/>
            </w14:solidFill>
          </w14:textFill>
        </w:rPr>
        <w:t>让本就紧张的警力更加捉襟见肘。同时</w:t>
      </w:r>
      <w:r>
        <w:rPr>
          <w:rFonts w:hint="eastAsia" w:ascii="仿宋_GB2312" w:hAnsi="宋体" w:eastAsia="仿宋_GB2312" w:cs="仿宋_GB2312"/>
          <w:color w:val="000000" w:themeColor="text1"/>
          <w:sz w:val="32"/>
          <w:szCs w:val="32"/>
          <w:highlight w:val="none"/>
          <w:shd w:val="clear" w:fill="FFFFFF"/>
          <w:lang w:val="en-US" w:eastAsia="zh-CN"/>
          <w14:textFill>
            <w14:solidFill>
              <w14:schemeClr w14:val="tx1"/>
            </w14:solidFill>
          </w14:textFill>
        </w:rPr>
        <w:t>大量</w:t>
      </w:r>
      <w:r>
        <w:rPr>
          <w:rFonts w:hint="eastAsia" w:ascii="仿宋_GB2312" w:hAnsi="宋体" w:eastAsia="仿宋_GB2312" w:cs="仿宋_GB2312"/>
          <w:color w:val="000000" w:themeColor="text1"/>
          <w:sz w:val="32"/>
          <w:szCs w:val="32"/>
          <w:highlight w:val="none"/>
          <w:shd w:val="clear" w:fill="FFFFFF"/>
          <w:lang w:eastAsia="zh-CN"/>
          <w14:textFill>
            <w14:solidFill>
              <w14:schemeClr w14:val="tx1"/>
            </w14:solidFill>
          </w14:textFill>
        </w:rPr>
        <w:t>交通辅警虽然在事故前期处理、交通疏导、交通违法取证等方面进行了辅助执法，但是由于缺乏有效技术</w:t>
      </w:r>
      <w:r>
        <w:rPr>
          <w:rFonts w:hint="eastAsia" w:ascii="仿宋_GB2312" w:hAnsi="宋体" w:eastAsia="仿宋_GB2312" w:cs="仿宋_GB2312"/>
          <w:color w:val="000000" w:themeColor="text1"/>
          <w:sz w:val="32"/>
          <w:szCs w:val="32"/>
          <w:highlight w:val="none"/>
          <w:shd w:val="clear" w:fill="FFFFFF"/>
          <w:lang w:val="en-US" w:eastAsia="zh-CN"/>
          <w14:textFill>
            <w14:solidFill>
              <w14:schemeClr w14:val="tx1"/>
            </w14:solidFill>
          </w14:textFill>
        </w:rPr>
        <w:t>支撑</w:t>
      </w:r>
      <w:r>
        <w:rPr>
          <w:rFonts w:hint="eastAsia" w:ascii="仿宋_GB2312" w:hAnsi="宋体" w:eastAsia="仿宋_GB2312" w:cs="仿宋_GB2312"/>
          <w:color w:val="000000" w:themeColor="text1"/>
          <w:sz w:val="32"/>
          <w:szCs w:val="32"/>
          <w:highlight w:val="none"/>
          <w:shd w:val="clear" w:fill="FFFFFF"/>
          <w:lang w:eastAsia="zh-CN"/>
          <w14:textFill>
            <w14:solidFill>
              <w14:schemeClr w14:val="tx1"/>
            </w14:solidFill>
          </w14:textFill>
        </w:rPr>
        <w:t>手段，不能更深入</w:t>
      </w:r>
      <w:r>
        <w:rPr>
          <w:rFonts w:hint="eastAsia" w:ascii="仿宋_GB2312" w:hAnsi="宋体" w:eastAsia="仿宋_GB2312" w:cs="仿宋_GB2312"/>
          <w:color w:val="000000" w:themeColor="text1"/>
          <w:sz w:val="32"/>
          <w:szCs w:val="32"/>
          <w:highlight w:val="none"/>
          <w:shd w:val="clear" w:fill="FFFFFF"/>
          <w:lang w:val="en-US" w:eastAsia="zh-CN"/>
          <w14:textFill>
            <w14:solidFill>
              <w14:schemeClr w14:val="tx1"/>
            </w14:solidFill>
          </w14:textFill>
        </w:rPr>
        <w:t>地辅助民警开展交通违法查处工作</w:t>
      </w:r>
      <w:r>
        <w:rPr>
          <w:rFonts w:hint="eastAsia" w:ascii="仿宋_GB2312" w:hAnsi="宋体" w:eastAsia="仿宋_GB2312" w:cs="仿宋_GB2312"/>
          <w:color w:val="000000" w:themeColor="text1"/>
          <w:sz w:val="32"/>
          <w:szCs w:val="32"/>
          <w:highlight w:val="none"/>
          <w:shd w:val="clear" w:fill="FFFFFF"/>
          <w:lang w:eastAsia="zh-CN"/>
          <w14:textFill>
            <w14:solidFill>
              <w14:schemeClr w14:val="tx1"/>
            </w14:solidFill>
          </w14:textFill>
        </w:rPr>
        <w:t>，</w:t>
      </w:r>
      <w:r>
        <w:rPr>
          <w:rFonts w:hint="eastAsia" w:ascii="仿宋_GB2312" w:hAnsi="宋体" w:eastAsia="仿宋_GB2312" w:cs="仿宋_GB2312"/>
          <w:color w:val="000000" w:themeColor="text1"/>
          <w:sz w:val="32"/>
          <w:szCs w:val="32"/>
          <w:highlight w:val="none"/>
          <w:shd w:val="clear" w:fill="FFFFFF"/>
          <w:lang w:val="en-US" w:eastAsia="zh-CN"/>
          <w14:textFill>
            <w14:solidFill>
              <w14:schemeClr w14:val="tx1"/>
            </w14:solidFill>
          </w14:textFill>
        </w:rPr>
        <w:t>遇有交通违法只能进行劝阻引导，违法处罚</w:t>
      </w:r>
      <w:r>
        <w:rPr>
          <w:rFonts w:hint="eastAsia" w:ascii="仿宋_GB2312" w:hAnsi="宋体" w:eastAsia="仿宋_GB2312" w:cs="仿宋_GB2312"/>
          <w:color w:val="000000" w:themeColor="text1"/>
          <w:sz w:val="32"/>
          <w:szCs w:val="32"/>
          <w:highlight w:val="none"/>
          <w:shd w:val="clear" w:fill="FFFFFF"/>
          <w:lang w:eastAsia="zh-CN"/>
          <w14:textFill>
            <w14:solidFill>
              <w14:schemeClr w14:val="tx1"/>
            </w14:solidFill>
          </w14:textFill>
        </w:rPr>
        <w:t>必须由</w:t>
      </w:r>
      <w:r>
        <w:rPr>
          <w:rFonts w:hint="eastAsia" w:ascii="仿宋_GB2312" w:hAnsi="宋体" w:eastAsia="仿宋_GB2312" w:cs="仿宋_GB2312"/>
          <w:color w:val="000000" w:themeColor="text1"/>
          <w:sz w:val="32"/>
          <w:szCs w:val="32"/>
          <w:highlight w:val="none"/>
          <w:shd w:val="clear" w:fill="FFFFFF"/>
          <w:lang w:val="en-US" w:eastAsia="zh-CN"/>
          <w14:textFill>
            <w14:solidFill>
              <w14:schemeClr w14:val="tx1"/>
            </w14:solidFill>
          </w14:textFill>
        </w:rPr>
        <w:t>两位</w:t>
      </w:r>
      <w:r>
        <w:rPr>
          <w:rFonts w:hint="eastAsia" w:ascii="仿宋_GB2312" w:hAnsi="宋体" w:eastAsia="仿宋_GB2312" w:cs="仿宋_GB2312"/>
          <w:color w:val="000000" w:themeColor="text1"/>
          <w:sz w:val="32"/>
          <w:szCs w:val="32"/>
          <w:highlight w:val="none"/>
          <w:shd w:val="clear" w:fill="FFFFFF"/>
          <w:lang w:eastAsia="zh-CN"/>
          <w14:textFill>
            <w14:solidFill>
              <w14:schemeClr w14:val="tx1"/>
            </w14:solidFill>
          </w14:textFill>
        </w:rPr>
        <w:t>民警</w:t>
      </w:r>
      <w:r>
        <w:rPr>
          <w:rFonts w:hint="eastAsia" w:ascii="仿宋_GB2312" w:hAnsi="宋体" w:eastAsia="仿宋_GB2312" w:cs="仿宋_GB2312"/>
          <w:color w:val="000000" w:themeColor="text1"/>
          <w:sz w:val="32"/>
          <w:szCs w:val="32"/>
          <w:highlight w:val="none"/>
          <w:shd w:val="clear" w:fill="FFFFFF"/>
          <w:lang w:val="en-US" w:eastAsia="zh-CN"/>
          <w14:textFill>
            <w14:solidFill>
              <w14:schemeClr w14:val="tx1"/>
            </w14:solidFill>
          </w14:textFill>
        </w:rPr>
        <w:t>在</w:t>
      </w:r>
      <w:r>
        <w:rPr>
          <w:rFonts w:hint="eastAsia" w:ascii="仿宋_GB2312" w:hAnsi="宋体" w:eastAsia="仿宋_GB2312" w:cs="仿宋_GB2312"/>
          <w:color w:val="000000" w:themeColor="text1"/>
          <w:sz w:val="32"/>
          <w:szCs w:val="32"/>
          <w:highlight w:val="none"/>
          <w:shd w:val="clear" w:fill="FFFFFF"/>
          <w:lang w:eastAsia="zh-CN"/>
          <w14:textFill>
            <w14:solidFill>
              <w14:schemeClr w14:val="tx1"/>
            </w14:solidFill>
          </w14:textFill>
        </w:rPr>
        <w:t>现场开具处罚文书，无法有效释放警力。</w:t>
      </w:r>
    </w:p>
    <w:p w14:paraId="21AD6531">
      <w:pPr>
        <w:pStyle w:val="4"/>
        <w:spacing w:line="500" w:lineRule="exact"/>
        <w:ind w:left="38"/>
        <w:outlineLvl w:val="1"/>
        <w:rPr>
          <w:rFonts w:hint="eastAsia" w:ascii="仿宋_GB2312" w:hAnsi="宋体" w:eastAsia="仿宋_GB2312" w:cs="仿宋_GB2312"/>
          <w:b w:val="0"/>
          <w:bCs w:val="0"/>
          <w:color w:val="000000" w:themeColor="text1"/>
          <w:sz w:val="32"/>
          <w:szCs w:val="32"/>
          <w:highlight w:val="none"/>
          <w:shd w:val="clear" w:fill="FFFFFF"/>
          <w:lang w:eastAsia="zh-CN"/>
          <w14:textFill>
            <w14:solidFill>
              <w14:schemeClr w14:val="tx1"/>
            </w14:solidFill>
          </w14:textFill>
        </w:rPr>
      </w:pP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三</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项目</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目标</w:t>
      </w:r>
    </w:p>
    <w:p w14:paraId="45B61CAB">
      <w:pPr>
        <w:pStyle w:val="4"/>
        <w:spacing w:before="183" w:line="500" w:lineRule="exact"/>
        <w:ind w:left="28" w:right="74" w:firstLine="487"/>
        <w:jc w:val="both"/>
        <w:rPr>
          <w:rFonts w:hint="default"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按照公安部、福建省公安厅、福州市公安局交通管理支队等各级公安机关</w:t>
      </w:r>
      <w:r>
        <w:rPr>
          <w:rFonts w:hint="eastAsia" w:ascii="仿宋_GB2312" w:hAnsi="宋体" w:eastAsia="仿宋_GB2312" w:cs="仿宋_GB2312"/>
          <w:b w:val="0"/>
          <w:bCs w:val="0"/>
          <w:i w:val="0"/>
          <w:iCs w:val="0"/>
          <w:caps w:val="0"/>
          <w:color w:val="000000" w:themeColor="text1"/>
          <w:spacing w:val="0"/>
          <w:sz w:val="32"/>
          <w:szCs w:val="32"/>
          <w:highlight w:val="none"/>
          <w:shd w:val="clear" w:fill="FFFFFF"/>
          <w:lang w:val="en-US" w:eastAsia="zh-CN"/>
          <w14:textFill>
            <w14:solidFill>
              <w14:schemeClr w14:val="tx1"/>
            </w14:solidFill>
          </w14:textFill>
        </w:rPr>
        <w:t>针对交通违法简易程序行政处罚远程视频执法的规范要求，通过采购技术支撑服务，为远程音视频交互、违法处罚前告知、违法行为人电子签名、交通违法行政处罚决定书打印送达、违法数据采集、违法数据核对、违法数据上传、远程执法数据存储等提供技术支撑。本项目提供的技术支撑服务以及采集生成的交通违法数据、交通违法证据需满足各级公安交通管理部门针对交通违法简易程序行政处罚远程视频执法的规范要求，满足公安</w:t>
      </w:r>
      <w:r>
        <w:rPr>
          <w:rFonts w:hint="eastAsia" w:ascii="仿宋_GB2312" w:hAnsi="宋体" w:eastAsia="仿宋_GB2312" w:cs="仿宋_GB2312"/>
          <w:bCs w:val="0"/>
          <w:color w:val="000000" w:themeColor="text1"/>
          <w:sz w:val="32"/>
          <w:szCs w:val="32"/>
          <w:highlight w:val="none"/>
          <w:shd w:val="clear" w:fill="FFFFFF"/>
          <w:lang w:eastAsia="zh-CN"/>
          <w14:textFill>
            <w14:solidFill>
              <w14:schemeClr w14:val="tx1"/>
            </w14:solidFill>
          </w14:textFill>
        </w:rPr>
        <w:t>交通管理综合应用平台</w:t>
      </w:r>
      <w:r>
        <w:rPr>
          <w:rFonts w:hint="eastAsia" w:ascii="仿宋_GB2312" w:hAnsi="宋体" w:eastAsia="仿宋_GB2312" w:cs="仿宋_GB2312"/>
          <w:bCs w:val="0"/>
          <w:color w:val="000000" w:themeColor="text1"/>
          <w:sz w:val="32"/>
          <w:szCs w:val="32"/>
          <w:highlight w:val="none"/>
          <w:shd w:val="clear" w:fill="FFFFFF"/>
          <w:lang w:val="en-US" w:eastAsia="zh-CN"/>
          <w14:textFill>
            <w14:solidFill>
              <w14:schemeClr w14:val="tx1"/>
            </w14:solidFill>
          </w14:textFill>
        </w:rPr>
        <w:t>的交通违法数据</w:t>
      </w:r>
      <w:r>
        <w:rPr>
          <w:rFonts w:hint="eastAsia" w:ascii="仿宋_GB2312" w:hAnsi="宋体" w:eastAsia="仿宋_GB2312" w:cs="仿宋_GB2312"/>
          <w:b w:val="0"/>
          <w:bCs w:val="0"/>
          <w:i w:val="0"/>
          <w:iCs w:val="0"/>
          <w:caps w:val="0"/>
          <w:color w:val="000000" w:themeColor="text1"/>
          <w:spacing w:val="0"/>
          <w:sz w:val="32"/>
          <w:szCs w:val="32"/>
          <w:highlight w:val="none"/>
          <w:shd w:val="clear" w:fill="FFFFFF"/>
          <w:lang w:val="en-US" w:eastAsia="zh-CN"/>
          <w14:textFill>
            <w14:solidFill>
              <w14:schemeClr w14:val="tx1"/>
            </w14:solidFill>
          </w14:textFill>
        </w:rPr>
        <w:t>写入规范要求，并将采集的违法数据上传至该平台。</w:t>
      </w:r>
    </w:p>
    <w:p w14:paraId="5363FB08">
      <w:pPr>
        <w:pStyle w:val="4"/>
        <w:spacing w:before="1" w:line="500" w:lineRule="exact"/>
        <w:ind w:left="37"/>
        <w:outlineLvl w:val="1"/>
        <w:rPr>
          <w:rFonts w:hint="eastAsia" w:ascii="仿宋_GB2312" w:hAnsi="宋体" w:eastAsia="仿宋_GB2312" w:cs="仿宋_GB2312"/>
          <w:b w:val="0"/>
          <w:bCs w:val="0"/>
          <w:color w:val="000000" w:themeColor="text1"/>
          <w:sz w:val="32"/>
          <w:szCs w:val="32"/>
          <w:highlight w:val="none"/>
          <w:shd w:val="clear" w:fill="FFFFFF"/>
          <w:lang w:eastAsia="zh-CN"/>
          <w14:textFill>
            <w14:solidFill>
              <w14:schemeClr w14:val="tx1"/>
            </w14:solidFill>
          </w14:textFill>
        </w:rPr>
      </w:pP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四</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项目技术</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需求</w:t>
      </w:r>
    </w:p>
    <w:p w14:paraId="34F086BD">
      <w:pPr>
        <w:pStyle w:val="4"/>
        <w:spacing w:before="159" w:line="500" w:lineRule="exact"/>
        <w:ind w:left="42" w:right="74" w:firstLine="467"/>
        <w:rPr>
          <w:rFonts w:hint="default"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按照</w:t>
      </w:r>
      <w:r>
        <w:rPr>
          <w:rFonts w:hint="eastAsia" w:ascii="仿宋_GB2312" w:hAnsi="宋体" w:eastAsia="仿宋_GB2312" w:cs="仿宋_GB2312"/>
          <w:b w:val="0"/>
          <w:bCs w:val="0"/>
          <w:i w:val="0"/>
          <w:iCs w:val="0"/>
          <w:caps w:val="0"/>
          <w:snapToGrid w:val="0"/>
          <w:color w:val="000000" w:themeColor="text1"/>
          <w:spacing w:val="0"/>
          <w:sz w:val="32"/>
          <w:szCs w:val="32"/>
          <w:highlight w:val="none"/>
          <w:shd w:val="clear" w:fill="FFFFFF"/>
          <w:lang w:val="en-US" w:eastAsia="zh-CN" w:bidi="ar-SA"/>
          <w14:textFill>
            <w14:solidFill>
              <w14:schemeClr w14:val="tx1"/>
            </w14:solidFill>
          </w14:textFill>
        </w:rPr>
        <w:t>福州市远程视频执法业务技术支撑服务要求</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提供道路交通安全违法行为简易程序行政处罚远程视频执法技术支撑服务，具体要求如下：</w:t>
      </w:r>
    </w:p>
    <w:p w14:paraId="1AA4EE43">
      <w:pPr>
        <w:pStyle w:val="4"/>
        <w:numPr>
          <w:ilvl w:val="0"/>
          <w:numId w:val="1"/>
        </w:numPr>
        <w:spacing w:before="159" w:line="500" w:lineRule="exact"/>
        <w:ind w:left="42" w:right="74" w:firstLine="467" w:firstLineChars="0"/>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pPr>
      <w:r>
        <w:rPr>
          <w:rFonts w:hint="eastAsia" w:ascii="仿宋_GB2312" w:hAnsi="宋体" w:eastAsia="仿宋_GB2312" w:cs="仿宋_GB2312"/>
          <w:b w:val="0"/>
          <w:bCs w:val="0"/>
          <w:i w:val="0"/>
          <w:iCs w:val="0"/>
          <w:caps w:val="0"/>
          <w:color w:val="000000" w:themeColor="text1"/>
          <w:spacing w:val="0"/>
          <w:sz w:val="32"/>
          <w:szCs w:val="32"/>
          <w:highlight w:val="none"/>
          <w:shd w:val="clear" w:fill="FFFFFF"/>
          <w:lang w:val="en-US" w:eastAsia="zh-CN"/>
          <w14:textFill>
            <w14:solidFill>
              <w14:schemeClr w14:val="tx1"/>
            </w14:solidFill>
          </w14:textFill>
        </w:rPr>
        <w:t>提供的服务包括</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路面铁骑与执法室民警双向</w:t>
      </w:r>
      <w:r>
        <w:rPr>
          <w:rFonts w:hint="eastAsia" w:ascii="仿宋_GB2312" w:hAnsi="宋体" w:eastAsia="仿宋_GB2312" w:cs="仿宋_GB2312"/>
          <w:b w:val="0"/>
          <w:bCs w:val="0"/>
          <w:i w:val="0"/>
          <w:iCs w:val="0"/>
          <w:caps w:val="0"/>
          <w:color w:val="000000" w:themeColor="text1"/>
          <w:spacing w:val="0"/>
          <w:sz w:val="32"/>
          <w:szCs w:val="32"/>
          <w:highlight w:val="none"/>
          <w:shd w:val="clear" w:fill="FFFFFF"/>
          <w:lang w:val="en-US" w:eastAsia="zh-CN"/>
          <w14:textFill>
            <w14:solidFill>
              <w14:schemeClr w14:val="tx1"/>
            </w14:solidFill>
          </w14:textFill>
        </w:rPr>
        <w:t>远程音视频交互、违法处罚前告知、违法行为人电子签名、交通违法行政处罚决定书打印送达、违法数据采集、违法数据核对、违法数据上传、远程执法数据存储等技术支撑服务，提供配套的技术支撑服务平台供采购人使用。</w:t>
      </w:r>
    </w:p>
    <w:p w14:paraId="01AB89E3">
      <w:pPr>
        <w:pStyle w:val="4"/>
        <w:numPr>
          <w:ilvl w:val="0"/>
          <w:numId w:val="1"/>
        </w:numPr>
        <w:spacing w:before="159" w:line="500" w:lineRule="exact"/>
        <w:ind w:left="42" w:right="74" w:firstLine="467" w:firstLineChars="0"/>
        <w:rPr>
          <w:rFonts w:hint="eastAsia" w:ascii="仿宋_GB2312" w:hAnsi="宋体" w:eastAsia="仿宋_GB2312" w:cs="仿宋_GB2312"/>
          <w:b/>
          <w:bCs/>
          <w:color w:val="000000" w:themeColor="text1"/>
          <w:kern w:val="0"/>
          <w:sz w:val="32"/>
          <w:szCs w:val="32"/>
          <w:highlight w:val="none"/>
          <w:shd w:val="clear" w:fill="FFFFFF"/>
          <w:lang w:val="en-US" w:eastAsia="zh-CN" w:bidi="ar"/>
          <w14:textFill>
            <w14:solidFill>
              <w14:schemeClr w14:val="tx1"/>
            </w14:solidFill>
          </w14:textFill>
        </w:rPr>
      </w:pPr>
      <w:r>
        <w:rPr>
          <w:rFonts w:hint="eastAsia" w:ascii="仿宋_GB2312" w:hAnsi="宋体" w:eastAsia="仿宋_GB2312" w:cs="仿宋_GB2312"/>
          <w:b w:val="0"/>
          <w:bCs w:val="0"/>
          <w:i w:val="0"/>
          <w:iCs w:val="0"/>
          <w:caps w:val="0"/>
          <w:color w:val="000000" w:themeColor="text1"/>
          <w:spacing w:val="0"/>
          <w:sz w:val="32"/>
          <w:szCs w:val="32"/>
          <w:highlight w:val="none"/>
          <w:shd w:val="clear" w:fill="FFFFFF"/>
          <w:lang w:val="en-US" w:eastAsia="zh-CN"/>
          <w14:textFill>
            <w14:solidFill>
              <w14:schemeClr w14:val="tx1"/>
            </w14:solidFill>
          </w14:textFill>
        </w:rPr>
        <w:t>技术支撑服务的性能要求：支持22个城区交警中队同时开展远程视频执法，技术支撑服务平台</w:t>
      </w:r>
      <w:r>
        <w:rPr>
          <w:rFonts w:hint="eastAsia" w:ascii="仿宋_GB2312" w:hAnsi="宋体" w:eastAsia="仿宋_GB2312" w:cs="仿宋_GB2312"/>
          <w:color w:val="000000" w:themeColor="text1"/>
          <w:sz w:val="32"/>
          <w:szCs w:val="32"/>
          <w:highlight w:val="none"/>
          <w:shd w:val="clear" w:fill="FFFFFF"/>
          <w:lang w:val="en-US" w:eastAsia="zh-CN"/>
          <w14:textFill>
            <w14:solidFill>
              <w14:schemeClr w14:val="tx1"/>
            </w14:solidFill>
          </w14:textFill>
        </w:rPr>
        <w:t>应满足</w:t>
      </w: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w:t>
      </w:r>
      <w:r>
        <w:rPr>
          <w:rFonts w:hint="eastAsia" w:ascii="仿宋_GB2312" w:hAnsi="宋体" w:eastAsia="仿宋_GB2312" w:cs="仿宋_GB2312"/>
          <w:color w:val="000000" w:themeColor="text1"/>
          <w:sz w:val="32"/>
          <w:szCs w:val="32"/>
          <w:highlight w:val="none"/>
          <w:shd w:val="clear" w:fill="FFFFFF"/>
          <w:lang w:val="en-US" w:eastAsia="zh-CN"/>
          <w14:textFill>
            <w14:solidFill>
              <w14:schemeClr w14:val="tx1"/>
            </w14:solidFill>
          </w14:textFill>
        </w:rPr>
        <w:t>22起同时并发开展远程视频执法，且视频通话质量</w:t>
      </w: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w:t>
      </w:r>
      <w:r>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720Pfps。平台采集的</w:t>
      </w:r>
      <w:r>
        <w:rPr>
          <w:rFonts w:hint="eastAsia" w:ascii="仿宋_GB2312" w:hAnsi="宋体" w:eastAsia="仿宋_GB2312" w:cs="仿宋_GB2312"/>
          <w:b w:val="0"/>
          <w:bCs w:val="0"/>
          <w:i w:val="0"/>
          <w:iCs w:val="0"/>
          <w:caps w:val="0"/>
          <w:color w:val="000000" w:themeColor="text1"/>
          <w:spacing w:val="0"/>
          <w:sz w:val="32"/>
          <w:szCs w:val="32"/>
          <w:highlight w:val="none"/>
          <w:shd w:val="clear" w:fill="FFFFFF"/>
          <w:lang w:val="en-US" w:eastAsia="zh-CN"/>
          <w14:textFill>
            <w14:solidFill>
              <w14:schemeClr w14:val="tx1"/>
            </w14:solidFill>
          </w14:textFill>
        </w:rPr>
        <w:t>远程执法数据</w:t>
      </w:r>
      <w:r>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中，音视频证据材料存储时长</w:t>
      </w: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w:t>
      </w:r>
      <w:r>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185天、违法数据图片证据存储时长</w:t>
      </w: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w:t>
      </w:r>
      <w:r>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365天。</w:t>
      </w:r>
      <w:r>
        <w:rPr>
          <w:rFonts w:hint="eastAsia" w:ascii="仿宋_GB2312" w:hAnsi="宋体" w:eastAsia="仿宋_GB2312" w:cs="仿宋_GB2312"/>
          <w:b/>
          <w:bCs/>
          <w:color w:val="000000" w:themeColor="text1"/>
          <w:kern w:val="0"/>
          <w:sz w:val="32"/>
          <w:szCs w:val="32"/>
          <w:highlight w:val="none"/>
          <w:shd w:val="clear" w:fill="FFFFFF"/>
          <w:lang w:val="en-US" w:eastAsia="zh-CN" w:bidi="ar"/>
          <w14:textFill>
            <w14:solidFill>
              <w14:schemeClr w14:val="tx1"/>
            </w14:solidFill>
          </w14:textFill>
        </w:rPr>
        <w:t>在本项目服务期结束后，针对仍需保存的音视频证据材料，供应商仍需按照上述时长保存历史数据，并根据采购人需求提供历史数据调取服务并提供承诺函，或者供应商使用采购人提供的存储介质完成历史数据导出并提供历史数据查阅的配套工具和软件。</w:t>
      </w:r>
    </w:p>
    <w:p w14:paraId="0B44E9E5">
      <w:pPr>
        <w:pStyle w:val="4"/>
        <w:numPr>
          <w:ilvl w:val="0"/>
          <w:numId w:val="1"/>
        </w:numPr>
        <w:spacing w:before="159" w:line="500" w:lineRule="exact"/>
        <w:ind w:left="42" w:right="74" w:firstLine="467"/>
        <w:jc w:val="left"/>
        <w:rPr>
          <w:rFonts w:hint="default"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远程执法数据（含音视频、图片等证据材料）支持单起导出、支持根据执法单位和执法时间段批量导出。</w:t>
      </w:r>
    </w:p>
    <w:p w14:paraId="7F201B41">
      <w:pPr>
        <w:pStyle w:val="4"/>
        <w:numPr>
          <w:ilvl w:val="0"/>
          <w:numId w:val="1"/>
        </w:numPr>
        <w:spacing w:before="159" w:line="500" w:lineRule="exact"/>
        <w:ind w:left="42" w:right="74" w:firstLine="467" w:firstLineChars="0"/>
        <w:rPr>
          <w:rFonts w:hint="default" w:ascii="仿宋_GB2312" w:hAnsi="宋体" w:eastAsia="仿宋_GB2312" w:cs="仿宋_GB2312"/>
          <w:color w:val="000000" w:themeColor="text1"/>
          <w:sz w:val="32"/>
          <w:szCs w:val="32"/>
          <w:highlight w:val="none"/>
          <w:shd w:val="clear" w:fill="FFFFFF"/>
          <w:lang w:val="en-US" w:eastAsia="zh-CN"/>
          <w14:textFill>
            <w14:solidFill>
              <w14:schemeClr w14:val="tx1"/>
            </w14:solidFill>
          </w14:textFill>
        </w:rPr>
      </w:pPr>
      <w:r>
        <w:rPr>
          <w:rFonts w:hint="eastAsia" w:ascii="仿宋_GB2312" w:hAnsi="宋体" w:eastAsia="仿宋_GB2312" w:cs="仿宋_GB2312"/>
          <w:b w:val="0"/>
          <w:bCs w:val="0"/>
          <w:i w:val="0"/>
          <w:iCs w:val="0"/>
          <w:caps w:val="0"/>
          <w:color w:val="000000" w:themeColor="text1"/>
          <w:spacing w:val="0"/>
          <w:sz w:val="32"/>
          <w:szCs w:val="32"/>
          <w:highlight w:val="none"/>
          <w:shd w:val="clear" w:fill="FFFFFF"/>
          <w:lang w:val="en-US" w:eastAsia="zh-CN"/>
          <w14:textFill>
            <w14:solidFill>
              <w14:schemeClr w14:val="tx1"/>
            </w14:solidFill>
          </w14:textFill>
        </w:rPr>
        <w:t>本项目提供的技术支撑服务以及采集生成的交通违法数据、</w:t>
      </w:r>
      <w:r>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远程执法数据（含音视频、图片等证据材料）</w:t>
      </w:r>
      <w:r>
        <w:rPr>
          <w:rFonts w:hint="eastAsia" w:ascii="仿宋_GB2312" w:hAnsi="宋体" w:eastAsia="仿宋_GB2312" w:cs="仿宋_GB2312"/>
          <w:b w:val="0"/>
          <w:bCs w:val="0"/>
          <w:i w:val="0"/>
          <w:iCs w:val="0"/>
          <w:caps w:val="0"/>
          <w:color w:val="000000" w:themeColor="text1"/>
          <w:spacing w:val="0"/>
          <w:sz w:val="32"/>
          <w:szCs w:val="32"/>
          <w:highlight w:val="none"/>
          <w:shd w:val="clear" w:fill="FFFFFF"/>
          <w:lang w:val="en-US" w:eastAsia="zh-CN"/>
          <w14:textFill>
            <w14:solidFill>
              <w14:schemeClr w14:val="tx1"/>
            </w14:solidFill>
          </w14:textFill>
        </w:rPr>
        <w:t>需满足各级公安交通管理部门针对交通违法简易程序行政处罚远程视频执法的规范要求，满足公安</w:t>
      </w:r>
      <w:r>
        <w:rPr>
          <w:rFonts w:hint="eastAsia" w:ascii="仿宋_GB2312" w:hAnsi="宋体" w:eastAsia="仿宋_GB2312" w:cs="仿宋_GB2312"/>
          <w:bCs w:val="0"/>
          <w:color w:val="000000" w:themeColor="text1"/>
          <w:sz w:val="32"/>
          <w:szCs w:val="32"/>
          <w:highlight w:val="none"/>
          <w:shd w:val="clear" w:fill="FFFFFF"/>
          <w:lang w:eastAsia="zh-CN"/>
          <w14:textFill>
            <w14:solidFill>
              <w14:schemeClr w14:val="tx1"/>
            </w14:solidFill>
          </w14:textFill>
        </w:rPr>
        <w:t>交通管理综合应用平台</w:t>
      </w:r>
      <w:r>
        <w:rPr>
          <w:rFonts w:hint="eastAsia" w:ascii="仿宋_GB2312" w:hAnsi="宋体" w:eastAsia="仿宋_GB2312" w:cs="仿宋_GB2312"/>
          <w:bCs w:val="0"/>
          <w:color w:val="000000" w:themeColor="text1"/>
          <w:sz w:val="32"/>
          <w:szCs w:val="32"/>
          <w:highlight w:val="none"/>
          <w:shd w:val="clear" w:fill="FFFFFF"/>
          <w:lang w:val="en-US" w:eastAsia="zh-CN"/>
          <w14:textFill>
            <w14:solidFill>
              <w14:schemeClr w14:val="tx1"/>
            </w14:solidFill>
          </w14:textFill>
        </w:rPr>
        <w:t>的交通违法数据</w:t>
      </w:r>
      <w:r>
        <w:rPr>
          <w:rFonts w:hint="eastAsia" w:ascii="仿宋_GB2312" w:hAnsi="宋体" w:eastAsia="仿宋_GB2312" w:cs="仿宋_GB2312"/>
          <w:b w:val="0"/>
          <w:bCs w:val="0"/>
          <w:i w:val="0"/>
          <w:iCs w:val="0"/>
          <w:caps w:val="0"/>
          <w:color w:val="000000" w:themeColor="text1"/>
          <w:spacing w:val="0"/>
          <w:sz w:val="32"/>
          <w:szCs w:val="32"/>
          <w:highlight w:val="none"/>
          <w:shd w:val="clear" w:fill="FFFFFF"/>
          <w:lang w:val="en-US" w:eastAsia="zh-CN"/>
          <w14:textFill>
            <w14:solidFill>
              <w14:schemeClr w14:val="tx1"/>
            </w14:solidFill>
          </w14:textFill>
        </w:rPr>
        <w:t>写入规范要求，并将采集的违法数据上传至该平台。</w:t>
      </w:r>
    </w:p>
    <w:p w14:paraId="6A3360DE">
      <w:pPr>
        <w:pStyle w:val="4"/>
        <w:numPr>
          <w:ilvl w:val="0"/>
          <w:numId w:val="1"/>
        </w:numPr>
        <w:spacing w:before="159" w:line="500" w:lineRule="exact"/>
        <w:ind w:left="42" w:right="74" w:firstLine="467" w:firstLineChars="0"/>
        <w:rPr>
          <w:rFonts w:hint="default" w:ascii="仿宋_GB2312" w:hAnsi="宋体" w:eastAsia="仿宋_GB2312" w:cs="仿宋_GB2312"/>
          <w:color w:val="000000" w:themeColor="text1"/>
          <w:sz w:val="32"/>
          <w:szCs w:val="32"/>
          <w:highlight w:val="none"/>
          <w:shd w:val="clear" w:fill="FFFFFF"/>
          <w:lang w:val="en-US" w:eastAsia="zh-CN"/>
          <w14:textFill>
            <w14:solidFill>
              <w14:schemeClr w14:val="tx1"/>
            </w14:solidFill>
          </w14:textFill>
        </w:rPr>
      </w:pPr>
      <w:r>
        <w:rPr>
          <w:rFonts w:hint="eastAsia" w:ascii="仿宋_GB2312" w:hAnsi="宋体" w:eastAsia="仿宋_GB2312" w:cs="仿宋_GB2312"/>
          <w:color w:val="000000" w:themeColor="text1"/>
          <w:sz w:val="32"/>
          <w:szCs w:val="32"/>
          <w:highlight w:val="none"/>
          <w:shd w:val="clear" w:fill="FFFFFF"/>
          <w:lang w:val="en-US" w:eastAsia="zh-CN"/>
          <w14:textFill>
            <w14:solidFill>
              <w14:schemeClr w14:val="tx1"/>
            </w14:solidFill>
          </w14:textFill>
        </w:rPr>
        <w:t>供应商需提供技术支撑服务所需的路面前端执法APP、执法室后端远程视频执法软件（CS客户端软件或BS网页版）以及配套的支持服务平台供采购人使用。供应商需在可信网提供支持服务平台所需的服务器资源，具体要求如下：</w:t>
      </w:r>
    </w:p>
    <w:p w14:paraId="70C08449">
      <w:pPr>
        <w:pStyle w:val="4"/>
        <w:tabs>
          <w:tab w:val="left" w:pos="576"/>
        </w:tabs>
        <w:spacing w:before="159" w:line="500" w:lineRule="exact"/>
        <w:ind w:left="0" w:right="74" w:firstLine="420" w:firstLineChars="0"/>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pP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1）数据库服务器</w:t>
      </w:r>
      <w:r>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w:t>
      </w:r>
      <w:r>
        <w:rPr>
          <w:rFonts w:hint="default"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1台</w:t>
      </w: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：CPU ≥</w:t>
      </w:r>
      <w:r>
        <w:rPr>
          <w:rFonts w:hint="default"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20</w:t>
      </w: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核</w:t>
      </w:r>
      <w:r>
        <w:rPr>
          <w:rFonts w:hint="eastAsia"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w:t>
      </w: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内存≥</w:t>
      </w:r>
      <w:r>
        <w:rPr>
          <w:rFonts w:hint="default"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128</w:t>
      </w: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G</w:t>
      </w:r>
      <w:r>
        <w:rPr>
          <w:rFonts w:hint="eastAsia"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w:t>
      </w:r>
      <w:r>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SSD</w:t>
      </w: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w:t>
      </w:r>
      <w:r>
        <w:rPr>
          <w:rFonts w:hint="default"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960G</w:t>
      </w:r>
      <w:r>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w:t>
      </w:r>
    </w:p>
    <w:p w14:paraId="731FA535">
      <w:pPr>
        <w:pStyle w:val="4"/>
        <w:spacing w:before="159" w:line="500" w:lineRule="exact"/>
        <w:ind w:left="0" w:right="74" w:firstLine="420" w:firstLineChars="0"/>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pP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2）应用服务器</w:t>
      </w:r>
      <w:r>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w:t>
      </w:r>
      <w:r>
        <w:rPr>
          <w:rFonts w:hint="default"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2台</w:t>
      </w: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w:t>
      </w:r>
      <w:r>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单台服务器性能要求为</w:t>
      </w: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CPU ≥</w:t>
      </w:r>
      <w:r>
        <w:rPr>
          <w:rFonts w:hint="default"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20</w:t>
      </w: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核</w:t>
      </w:r>
      <w:r>
        <w:rPr>
          <w:rFonts w:hint="eastAsia"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w:t>
      </w: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内存≥</w:t>
      </w:r>
      <w:r>
        <w:rPr>
          <w:rFonts w:hint="default"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128</w:t>
      </w: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G</w:t>
      </w:r>
      <w:r>
        <w:rPr>
          <w:rFonts w:hint="eastAsia"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w:t>
      </w:r>
      <w:r>
        <w:rPr>
          <w:rFonts w:hint="default"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SSD</w:t>
      </w: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w:t>
      </w:r>
      <w:r>
        <w:rPr>
          <w:rFonts w:hint="default"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960G</w:t>
      </w:r>
      <w:r>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w:t>
      </w:r>
    </w:p>
    <w:p w14:paraId="332E2D31">
      <w:pPr>
        <w:pStyle w:val="4"/>
        <w:numPr>
          <w:ilvl w:val="0"/>
          <w:numId w:val="2"/>
        </w:numPr>
        <w:spacing w:before="159" w:line="500" w:lineRule="exact"/>
        <w:ind w:left="0" w:right="74" w:firstLine="420" w:firstLineChars="0"/>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pPr>
      <w:r>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数据转发服务器*1台：</w:t>
      </w: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CPU ≥</w:t>
      </w:r>
      <w:r>
        <w:rPr>
          <w:rFonts w:hint="default"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20</w:t>
      </w: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核 内存≥</w:t>
      </w:r>
      <w:r>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64</w:t>
      </w: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G</w:t>
      </w:r>
      <w:r>
        <w:rPr>
          <w:rFonts w:hint="eastAsia"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w:t>
      </w:r>
      <w:r>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硬盘</w:t>
      </w: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w:t>
      </w:r>
      <w:r>
        <w:rPr>
          <w:rFonts w:hint="default"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960G</w:t>
      </w:r>
      <w:r>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w:t>
      </w:r>
    </w:p>
    <w:p w14:paraId="4FBBEC72">
      <w:pPr>
        <w:pStyle w:val="4"/>
        <w:numPr>
          <w:ilvl w:val="0"/>
          <w:numId w:val="3"/>
        </w:numPr>
        <w:spacing w:before="159" w:line="500" w:lineRule="exact"/>
        <w:ind w:left="0" w:right="74" w:firstLine="420"/>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pPr>
      <w:r>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上述4台服务器共提供</w:t>
      </w:r>
      <w:r>
        <w:rPr>
          <w:rFonts w:hint="default" w:ascii="仿宋_GB2312" w:hAnsi="宋体" w:eastAsia="仿宋_GB2312" w:cs="仿宋_GB2312"/>
          <w:color w:val="000000" w:themeColor="text1"/>
          <w:kern w:val="0"/>
          <w:sz w:val="32"/>
          <w:szCs w:val="32"/>
          <w:highlight w:val="none"/>
          <w:shd w:val="clear" w:fill="FFFFFF"/>
          <w:lang w:eastAsia="zh-CN" w:bidi="ar"/>
          <w14:textFill>
            <w14:solidFill>
              <w14:schemeClr w14:val="tx1"/>
            </w14:solidFill>
          </w14:textFill>
        </w:rPr>
        <w:t>≥</w:t>
      </w:r>
      <w:r>
        <w:rPr>
          <w:rFonts w:hint="eastAsia" w:ascii="仿宋_GB2312" w:hAnsi="宋体" w:eastAsia="仿宋_GB2312" w:cs="仿宋_GB2312"/>
          <w:color w:val="000000" w:themeColor="text1"/>
          <w:kern w:val="0"/>
          <w:sz w:val="32"/>
          <w:szCs w:val="32"/>
          <w:highlight w:val="none"/>
          <w:shd w:val="clear" w:fill="FFFFFF"/>
          <w:lang w:val="en-US" w:eastAsia="zh-CN" w:bidi="ar"/>
          <w14:textFill>
            <w14:solidFill>
              <w14:schemeClr w14:val="tx1"/>
            </w14:solidFill>
          </w14:textFill>
        </w:rPr>
        <w:t>14T的机械硬盘存储空间；</w:t>
      </w:r>
    </w:p>
    <w:p w14:paraId="5E8EEC97">
      <w:pPr>
        <w:pStyle w:val="4"/>
        <w:numPr>
          <w:ilvl w:val="0"/>
          <w:numId w:val="3"/>
        </w:numPr>
        <w:spacing w:before="159" w:line="500" w:lineRule="exact"/>
        <w:ind w:left="0" w:right="74" w:firstLine="420"/>
        <w:rPr>
          <w:rFonts w:hint="eastAsia" w:ascii="仿宋_GB2312" w:hAnsi="宋体" w:eastAsia="仿宋_GB2312" w:cs="仿宋_GB2312"/>
          <w:b/>
          <w:bCs/>
          <w:color w:val="000000" w:themeColor="text1"/>
          <w:kern w:val="0"/>
          <w:sz w:val="32"/>
          <w:szCs w:val="32"/>
          <w:highlight w:val="none"/>
          <w:shd w:val="clear" w:fill="FFFFFF"/>
          <w:lang w:val="en-US" w:eastAsia="zh-CN" w:bidi="ar"/>
          <w14:textFill>
            <w14:solidFill>
              <w14:schemeClr w14:val="tx1"/>
            </w14:solidFill>
          </w14:textFill>
        </w:rPr>
      </w:pPr>
      <w:r>
        <w:rPr>
          <w:rFonts w:hint="eastAsia" w:ascii="仿宋_GB2312" w:hAnsi="宋体" w:eastAsia="仿宋_GB2312" w:cs="仿宋_GB2312"/>
          <w:b/>
          <w:bCs/>
          <w:color w:val="000000" w:themeColor="text1"/>
          <w:kern w:val="0"/>
          <w:sz w:val="32"/>
          <w:szCs w:val="32"/>
          <w:highlight w:val="none"/>
          <w:shd w:val="clear" w:fill="FFFFFF"/>
          <w:lang w:val="en-US" w:eastAsia="zh-CN" w:bidi="ar"/>
          <w14:textFill>
            <w14:solidFill>
              <w14:schemeClr w14:val="tx1"/>
            </w14:solidFill>
          </w14:textFill>
        </w:rPr>
        <w:t>供应商还应根据采购人的实际远程视频执法量，按照音视频证据材料存储时长</w:t>
      </w:r>
      <w:r>
        <w:rPr>
          <w:rFonts w:hint="default" w:ascii="仿宋_GB2312" w:hAnsi="宋体" w:eastAsia="仿宋_GB2312" w:cs="仿宋_GB2312"/>
          <w:b/>
          <w:bCs/>
          <w:color w:val="000000" w:themeColor="text1"/>
          <w:kern w:val="0"/>
          <w:sz w:val="32"/>
          <w:szCs w:val="32"/>
          <w:highlight w:val="none"/>
          <w:shd w:val="clear" w:fill="FFFFFF"/>
          <w:lang w:eastAsia="zh-CN" w:bidi="ar"/>
          <w14:textFill>
            <w14:solidFill>
              <w14:schemeClr w14:val="tx1"/>
            </w14:solidFill>
          </w14:textFill>
        </w:rPr>
        <w:t>≥</w:t>
      </w:r>
      <w:r>
        <w:rPr>
          <w:rFonts w:hint="eastAsia" w:ascii="仿宋_GB2312" w:hAnsi="宋体" w:eastAsia="仿宋_GB2312" w:cs="仿宋_GB2312"/>
          <w:b/>
          <w:bCs/>
          <w:color w:val="000000" w:themeColor="text1"/>
          <w:kern w:val="0"/>
          <w:sz w:val="32"/>
          <w:szCs w:val="32"/>
          <w:highlight w:val="none"/>
          <w:shd w:val="clear" w:fill="FFFFFF"/>
          <w:lang w:val="en-US" w:eastAsia="zh-CN" w:bidi="ar"/>
          <w14:textFill>
            <w14:solidFill>
              <w14:schemeClr w14:val="tx1"/>
            </w14:solidFill>
          </w14:textFill>
        </w:rPr>
        <w:t>185天、违法数据图片证据存储时长</w:t>
      </w:r>
      <w:r>
        <w:rPr>
          <w:rFonts w:hint="default" w:ascii="仿宋_GB2312" w:hAnsi="宋体" w:eastAsia="仿宋_GB2312" w:cs="仿宋_GB2312"/>
          <w:b/>
          <w:bCs/>
          <w:color w:val="000000" w:themeColor="text1"/>
          <w:kern w:val="0"/>
          <w:sz w:val="32"/>
          <w:szCs w:val="32"/>
          <w:highlight w:val="none"/>
          <w:shd w:val="clear" w:fill="FFFFFF"/>
          <w:lang w:eastAsia="zh-CN" w:bidi="ar"/>
          <w14:textFill>
            <w14:solidFill>
              <w14:schemeClr w14:val="tx1"/>
            </w14:solidFill>
          </w14:textFill>
        </w:rPr>
        <w:t>≥</w:t>
      </w:r>
      <w:r>
        <w:rPr>
          <w:rFonts w:hint="eastAsia" w:ascii="仿宋_GB2312" w:hAnsi="宋体" w:eastAsia="仿宋_GB2312" w:cs="仿宋_GB2312"/>
          <w:b/>
          <w:bCs/>
          <w:color w:val="000000" w:themeColor="text1"/>
          <w:kern w:val="0"/>
          <w:sz w:val="32"/>
          <w:szCs w:val="32"/>
          <w:highlight w:val="none"/>
          <w:shd w:val="clear" w:fill="FFFFFF"/>
          <w:lang w:val="en-US" w:eastAsia="zh-CN" w:bidi="ar"/>
          <w14:textFill>
            <w14:solidFill>
              <w14:schemeClr w14:val="tx1"/>
            </w14:solidFill>
          </w14:textFill>
        </w:rPr>
        <w:t>365天的要求，对服务器的SSD硬盘、机械硬盘存储空间进行扩容。</w:t>
      </w:r>
    </w:p>
    <w:p w14:paraId="076640A2">
      <w:pPr>
        <w:pStyle w:val="4"/>
        <w:numPr>
          <w:ilvl w:val="0"/>
          <w:numId w:val="1"/>
        </w:numPr>
        <w:spacing w:before="159" w:line="500" w:lineRule="exact"/>
        <w:ind w:left="42" w:right="74" w:firstLine="467"/>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业务培训：对辅警、铁骑、民警使用平台、前端执法APP、</w:t>
      </w:r>
      <w:r>
        <w:rPr>
          <w:rFonts w:hint="eastAsia" w:ascii="仿宋_GB2312" w:hAnsi="宋体" w:eastAsia="仿宋_GB2312" w:cs="仿宋_GB2312"/>
          <w:color w:val="000000" w:themeColor="text1"/>
          <w:sz w:val="32"/>
          <w:szCs w:val="32"/>
          <w:highlight w:val="none"/>
          <w:shd w:val="clear" w:fill="FFFFFF"/>
          <w:lang w:val="en-US" w:eastAsia="zh-CN"/>
          <w14:textFill>
            <w14:solidFill>
              <w14:schemeClr w14:val="tx1"/>
            </w14:solidFill>
          </w14:textFill>
        </w:rPr>
        <w:t>后端远程视频执法软件</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开展业务培训。</w:t>
      </w:r>
    </w:p>
    <w:p w14:paraId="73F355F2">
      <w:pPr>
        <w:pStyle w:val="4"/>
        <w:numPr>
          <w:ilvl w:val="0"/>
          <w:numId w:val="1"/>
        </w:numPr>
        <w:spacing w:before="159" w:line="500" w:lineRule="exact"/>
        <w:ind w:left="42" w:right="74" w:firstLine="467"/>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pPr>
      <w:r>
        <w:rPr>
          <w:rFonts w:hint="default"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应用更新</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w:t>
      </w:r>
      <w:r>
        <w:rPr>
          <w:rFonts w:hint="default"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对使用过程中民辅警提出的应用需求进行持续更新</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，各级公安机关针对交通违法远程视频执法有新的规范要求的，按照新规范要求对软硬件进行升级，满足新的规范要求</w:t>
      </w:r>
      <w:r>
        <w:rPr>
          <w:rFonts w:hint="default"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w:t>
      </w:r>
    </w:p>
    <w:p w14:paraId="45C1306E">
      <w:pPr>
        <w:pStyle w:val="4"/>
        <w:spacing w:before="48" w:line="500" w:lineRule="exact"/>
        <w:ind w:left="0"/>
        <w:outlineLvl w:val="0"/>
        <w:rPr>
          <w:rFonts w:hint="eastAsia" w:ascii="仿宋_GB2312" w:hAnsi="宋体" w:eastAsia="仿宋_GB2312" w:cs="仿宋_GB2312"/>
          <w:b w:val="0"/>
          <w:bCs w:val="0"/>
          <w:color w:val="000000" w:themeColor="text1"/>
          <w:sz w:val="32"/>
          <w:szCs w:val="32"/>
          <w:highlight w:val="none"/>
          <w:shd w:val="clear" w:fill="FFFFFF"/>
          <w:lang w:eastAsia="zh-CN"/>
          <w14:textFill>
            <w14:solidFill>
              <w14:schemeClr w14:val="tx1"/>
            </w14:solidFill>
          </w14:textFill>
        </w:rPr>
      </w:pP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四</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项目</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商务要求</w:t>
      </w:r>
    </w:p>
    <w:p w14:paraId="563E3ED4">
      <w:pPr>
        <w:pStyle w:val="4"/>
        <w:numPr>
          <w:ilvl w:val="0"/>
          <w:numId w:val="0"/>
        </w:numPr>
        <w:spacing w:before="180" w:line="500" w:lineRule="exact"/>
        <w:ind w:left="30" w:right="80" w:firstLine="479" w:firstLineChars="0"/>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pPr>
      <w:r>
        <w:rPr>
          <w:rFonts w:hint="default"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1.交付时间：合同签订后</w:t>
      </w:r>
      <w:r>
        <w:rPr>
          <w:rFonts w:hint="eastAsia" w:ascii="仿宋_GB2312" w:hAnsi="宋体" w:eastAsia="仿宋_GB2312" w:cs="仿宋_GB2312"/>
          <w:b/>
          <w:bCs/>
          <w:color w:val="000000" w:themeColor="text1"/>
          <w:spacing w:val="0"/>
          <w:sz w:val="32"/>
          <w:szCs w:val="32"/>
          <w:highlight w:val="none"/>
          <w:shd w:val="clear" w:fill="FFFFFF"/>
          <w:lang w:val="en-US" w:eastAsia="zh-CN"/>
          <w14:textFill>
            <w14:solidFill>
              <w14:schemeClr w14:val="tx1"/>
            </w14:solidFill>
          </w14:textFill>
        </w:rPr>
        <w:t>3个月</w:t>
      </w:r>
      <w:r>
        <w:rPr>
          <w:rFonts w:hint="default" w:ascii="仿宋_GB2312" w:hAnsi="宋体" w:eastAsia="仿宋_GB2312" w:cs="仿宋_GB2312"/>
          <w:b/>
          <w:bCs/>
          <w:color w:val="000000" w:themeColor="text1"/>
          <w:spacing w:val="0"/>
          <w:sz w:val="32"/>
          <w:szCs w:val="32"/>
          <w:highlight w:val="none"/>
          <w:shd w:val="clear" w:fill="FFFFFF"/>
          <w:lang w:val="en-US" w:eastAsia="zh-CN"/>
          <w14:textFill>
            <w14:solidFill>
              <w14:schemeClr w14:val="tx1"/>
            </w14:solidFill>
          </w14:textFill>
        </w:rPr>
        <w:t>内</w:t>
      </w:r>
      <w:r>
        <w:rPr>
          <w:rFonts w:hint="default"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完成</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远程执法业务平台的部署和使用培训</w:t>
      </w:r>
      <w:r>
        <w:rPr>
          <w:rFonts w:hint="default"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，并通过服务交付验收。</w:t>
      </w:r>
    </w:p>
    <w:p w14:paraId="39DF46B9">
      <w:pPr>
        <w:pStyle w:val="4"/>
        <w:numPr>
          <w:ilvl w:val="0"/>
          <w:numId w:val="0"/>
        </w:numPr>
        <w:spacing w:before="180" w:line="500" w:lineRule="exact"/>
        <w:ind w:left="30" w:right="80" w:firstLine="479"/>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2.服务期：</w:t>
      </w:r>
      <w:r>
        <w:rPr>
          <w:rFonts w:hint="eastAsia" w:ascii="仿宋_GB2312" w:hAnsi="宋体" w:eastAsia="仿宋_GB2312" w:cs="仿宋_GB2312"/>
          <w:b/>
          <w:bCs/>
          <w:color w:val="000000" w:themeColor="text1"/>
          <w:spacing w:val="0"/>
          <w:sz w:val="32"/>
          <w:szCs w:val="32"/>
          <w:highlight w:val="none"/>
          <w:shd w:val="clear" w:fill="FFFFFF"/>
          <w:lang w:val="en-US" w:eastAsia="zh-CN"/>
          <w14:textFill>
            <w14:solidFill>
              <w14:schemeClr w14:val="tx1"/>
            </w14:solidFill>
          </w14:textFill>
        </w:rPr>
        <w:t>本项目服务期一年</w:t>
      </w: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，服务期自通过服务交付验收之日起算。</w:t>
      </w:r>
    </w:p>
    <w:p w14:paraId="4304928C">
      <w:pPr>
        <w:pStyle w:val="4"/>
        <w:numPr>
          <w:ilvl w:val="0"/>
          <w:numId w:val="0"/>
        </w:numPr>
        <w:spacing w:before="180" w:line="500" w:lineRule="exact"/>
        <w:ind w:left="30" w:right="80" w:firstLine="479"/>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pPr>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3.</w:t>
      </w:r>
      <w:r>
        <w:rPr>
          <w:rFonts w:hint="eastAsia" w:ascii="仿宋_GB2312" w:hAnsi="宋体" w:eastAsia="仿宋_GB2312" w:cs="仿宋_GB2312"/>
          <w:b w:val="0"/>
          <w:bCs w:val="0"/>
          <w:color w:val="000000" w:themeColor="text1"/>
          <w:spacing w:val="0"/>
          <w:sz w:val="32"/>
          <w:szCs w:val="32"/>
          <w:highlight w:val="none"/>
          <w:shd w:val="clear" w:fill="FFFFFF"/>
          <w:lang w:eastAsia="zh-CN"/>
          <w14:textFill>
            <w14:solidFill>
              <w14:schemeClr w14:val="tx1"/>
            </w14:solidFill>
          </w14:textFill>
        </w:rPr>
        <w:t>验收标准、规范：满足国家、行业现行验收标准。</w:t>
      </w:r>
    </w:p>
    <w:p w14:paraId="236D66AB">
      <w:pPr>
        <w:pStyle w:val="4"/>
        <w:numPr>
          <w:ilvl w:val="0"/>
          <w:numId w:val="0"/>
        </w:numPr>
        <w:spacing w:before="180" w:line="500" w:lineRule="exact"/>
        <w:ind w:left="30" w:right="80" w:firstLine="479" w:firstLineChars="0"/>
        <w:rPr>
          <w:rFonts w:hint="eastAsia" w:ascii="仿宋_GB2312" w:hAnsi="宋体" w:eastAsia="仿宋_GB2312" w:cs="仿宋_GB2312"/>
          <w:b w:val="0"/>
          <w:bCs w:val="0"/>
          <w:snapToGrid w:val="0"/>
          <w:color w:val="000000" w:themeColor="text1"/>
          <w:spacing w:val="0"/>
          <w:sz w:val="32"/>
          <w:szCs w:val="32"/>
          <w:highlight w:val="none"/>
          <w:shd w:val="clear" w:fill="FFFFFF"/>
          <w:lang w:val="en-US" w:eastAsia="zh-CN" w:bidi="ar-SA"/>
          <w14:textFill>
            <w14:solidFill>
              <w14:schemeClr w14:val="tx1"/>
            </w14:solidFill>
          </w14:textFill>
        </w:rPr>
      </w:pPr>
      <w:r>
        <w:rPr>
          <w:rFonts w:hint="default"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4.知识产权：</w:t>
      </w:r>
      <w:r>
        <w:rPr>
          <w:rFonts w:hint="eastAsia" w:ascii="仿宋_GB2312" w:hAnsi="宋体" w:eastAsia="仿宋_GB2312" w:cs="仿宋_GB2312"/>
          <w:b w:val="0"/>
          <w:bCs w:val="0"/>
          <w:snapToGrid w:val="0"/>
          <w:color w:val="000000" w:themeColor="text1"/>
          <w:spacing w:val="0"/>
          <w:sz w:val="32"/>
          <w:szCs w:val="32"/>
          <w:highlight w:val="none"/>
          <w:shd w:val="clear" w:fill="FFFFFF"/>
          <w:lang w:val="en-US" w:eastAsia="zh-CN" w:bidi="ar-SA"/>
          <w14:textFill>
            <w14:solidFill>
              <w14:schemeClr w14:val="tx1"/>
            </w14:solidFill>
          </w14:textFill>
        </w:rPr>
        <w:t>供应商必须保证采购人在使用其成交产物过程的任何时候均不侵犯第三方的知识产权（包括但不限于专利权、商标权、著作权和技术秘密等权利）。若任何第三方针对中标人根据本项目提供的服务行为提出知识产权侵权指控，中标人须与第三方交涉并承担由此而引起的一切法律责任和费用。如果采购人因为第三方的侵权指控遭受了损失（包括但不限于律师费、诉讼费、生效法律文书要求采购人承担法律责任等），采购人有权向中标人追偿。</w:t>
      </w:r>
    </w:p>
    <w:p w14:paraId="07C23FD0">
      <w:pPr>
        <w:pStyle w:val="4"/>
        <w:numPr>
          <w:ilvl w:val="0"/>
          <w:numId w:val="0"/>
        </w:numPr>
        <w:spacing w:before="180" w:line="500" w:lineRule="exact"/>
        <w:ind w:left="30" w:right="80" w:firstLine="479" w:firstLineChars="0"/>
        <w:rPr>
          <w:rFonts w:hint="eastAsia" w:ascii="仿宋_GB2312" w:hAnsi="宋体" w:eastAsia="仿宋_GB2312" w:cs="仿宋_GB2312"/>
          <w:b/>
          <w:bCs/>
          <w:snapToGrid w:val="0"/>
          <w:color w:val="000000" w:themeColor="text1"/>
          <w:spacing w:val="0"/>
          <w:sz w:val="32"/>
          <w:szCs w:val="32"/>
          <w:highlight w:val="none"/>
          <w:shd w:val="clear" w:fill="FFFFFF"/>
          <w:lang w:val="en-US" w:eastAsia="zh-CN" w:bidi="ar-SA"/>
          <w14:textFill>
            <w14:solidFill>
              <w14:schemeClr w14:val="tx1"/>
            </w14:solidFill>
          </w14:textFill>
        </w:rPr>
      </w:pPr>
      <w:r>
        <w:rPr>
          <w:rFonts w:hint="eastAsia" w:ascii="仿宋_GB2312" w:hAnsi="宋体" w:eastAsia="仿宋_GB2312" w:cs="仿宋_GB2312"/>
          <w:b w:val="0"/>
          <w:bCs w:val="0"/>
          <w:snapToGrid w:val="0"/>
          <w:color w:val="000000" w:themeColor="text1"/>
          <w:spacing w:val="0"/>
          <w:sz w:val="32"/>
          <w:szCs w:val="32"/>
          <w:highlight w:val="none"/>
          <w:shd w:val="clear" w:fill="FFFFFF"/>
          <w:lang w:val="en-US" w:eastAsia="zh-CN" w:bidi="ar-SA"/>
          <w14:textFill>
            <w14:solidFill>
              <w14:schemeClr w14:val="tx1"/>
            </w14:solidFill>
          </w14:textFill>
        </w:rPr>
        <w:t>5.</w:t>
      </w:r>
      <w:r>
        <w:rPr>
          <w:rFonts w:hint="eastAsia" w:ascii="仿宋_GB2312" w:hAnsi="宋体" w:eastAsia="仿宋_GB2312" w:cs="仿宋_GB2312"/>
          <w:b/>
          <w:bCs/>
          <w:snapToGrid w:val="0"/>
          <w:color w:val="000000" w:themeColor="text1"/>
          <w:spacing w:val="0"/>
          <w:sz w:val="32"/>
          <w:szCs w:val="32"/>
          <w:highlight w:val="none"/>
          <w:shd w:val="clear" w:fill="FFFFFF"/>
          <w:lang w:val="en-US" w:eastAsia="zh-CN" w:bidi="ar-SA"/>
          <w14:textFill>
            <w14:solidFill>
              <w14:schemeClr w14:val="tx1"/>
            </w14:solidFill>
          </w14:textFill>
        </w:rPr>
        <w:t>因供应商提供的技术支撑服务不满足要求，导致采购人基于供应商提供的技术服务开展的远程视频执法后被撤销、被认定行政行为违法或无效的，视为供应商违约，每起违法供应商应支付违约金500元；因供应商提供的技术支撑服务不满足要求，导致采购人基于供应商提供的技术服务开展的远程视频执法引发行政诉讼且采购人败诉的或导致采购人需行政赔偿的，视为供应商违约，每起违法供应商应支付违约金3000元。</w:t>
      </w:r>
    </w:p>
    <w:p w14:paraId="440E6528">
      <w:pPr>
        <w:pStyle w:val="8"/>
        <w:rPr>
          <w:rFonts w:ascii="仿宋_GB2312" w:hAnsi="仿宋_GB2312" w:eastAsia="仿宋_GB2312" w:cs="仿宋_GB2312"/>
          <w:highlight w:val="none"/>
        </w:rPr>
      </w:pPr>
    </w:p>
    <w:p w14:paraId="1CC916EE">
      <w:pPr>
        <w:spacing w:line="217" w:lineRule="auto"/>
        <w:rPr>
          <w:rFonts w:hint="eastAsia" w:ascii="仿宋" w:hAnsi="仿宋" w:eastAsia="仿宋" w:cs="仿宋"/>
          <w:snapToGrid w:val="0"/>
          <w:color w:val="000000"/>
          <w:spacing w:val="-3"/>
          <w:sz w:val="24"/>
          <w:szCs w:val="24"/>
          <w:highlight w:val="yellow"/>
          <w:lang w:val="en-US" w:eastAsia="zh-CN" w:bidi="ar-SA"/>
        </w:rPr>
      </w:pPr>
    </w:p>
    <w:p w14:paraId="20BF6F9A"/>
    <w:sectPr>
      <w:footerReference r:id="rId3" w:type="default"/>
      <w:pgSz w:w="11907" w:h="16839"/>
      <w:pgMar w:top="1431" w:right="871" w:bottom="1179" w:left="1250" w:header="0" w:footer="946"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1AE47">
    <w:pPr>
      <w:spacing w:line="229" w:lineRule="auto"/>
      <w:ind w:left="4212"/>
      <w:rPr>
        <w:rFonts w:ascii="Calibri" w:hAnsi="Calibri" w:eastAsia="Calibri" w:cs="Calibri"/>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354E19">
                          <w:pPr>
                            <w:pStyle w:val="5"/>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E354E19">
                    <w:pPr>
                      <w:pStyle w:val="5"/>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993CD4"/>
    <w:multiLevelType w:val="singleLevel"/>
    <w:tmpl w:val="BC993CD4"/>
    <w:lvl w:ilvl="0" w:tentative="0">
      <w:start w:val="3"/>
      <w:numFmt w:val="decimal"/>
      <w:suff w:val="nothing"/>
      <w:lvlText w:val="%1）"/>
      <w:lvlJc w:val="left"/>
    </w:lvl>
  </w:abstractNum>
  <w:abstractNum w:abstractNumId="1">
    <w:nsid w:val="E61F6886"/>
    <w:multiLevelType w:val="singleLevel"/>
    <w:tmpl w:val="E61F6886"/>
    <w:lvl w:ilvl="0" w:tentative="0">
      <w:start w:val="4"/>
      <w:numFmt w:val="decimal"/>
      <w:lvlText w:val="%1)"/>
      <w:lvlJc w:val="left"/>
      <w:pPr>
        <w:tabs>
          <w:tab w:val="left" w:pos="312"/>
        </w:tabs>
      </w:pPr>
    </w:lvl>
  </w:abstractNum>
  <w:abstractNum w:abstractNumId="2">
    <w:nsid w:val="4AA545F3"/>
    <w:multiLevelType w:val="singleLevel"/>
    <w:tmpl w:val="4AA545F3"/>
    <w:lvl w:ilvl="0" w:tentative="0">
      <w:start w:val="1"/>
      <w:numFmt w:val="decimal"/>
      <w:lvlText w:val="%1."/>
      <w:lvlJc w:val="left"/>
      <w:pPr>
        <w:tabs>
          <w:tab w:val="left" w:pos="312"/>
        </w:tabs>
      </w:pPr>
      <w:rPr>
        <w:rFonts w:hint="default"/>
        <w:b w:val="0"/>
        <w:bCs w:val="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5057C2"/>
    <w:rsid w:val="5BE56E98"/>
    <w:rsid w:val="5C5057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pPr>
  </w:style>
  <w:style w:type="paragraph" w:styleId="3">
    <w:name w:val="Body Text Indent"/>
    <w:basedOn w:val="1"/>
    <w:unhideWhenUsed/>
    <w:qFormat/>
    <w:uiPriority w:val="99"/>
    <w:pPr>
      <w:spacing w:after="120"/>
      <w:ind w:left="420" w:leftChars="200"/>
    </w:pPr>
  </w:style>
  <w:style w:type="paragraph" w:styleId="4">
    <w:name w:val="Body Text"/>
    <w:basedOn w:val="1"/>
    <w:semiHidden/>
    <w:qFormat/>
    <w:uiPriority w:val="0"/>
    <w:rPr>
      <w:rFonts w:ascii="仿宋" w:hAnsi="仿宋" w:eastAsia="仿宋" w:cs="仿宋"/>
      <w:sz w:val="24"/>
      <w:szCs w:val="24"/>
    </w:rPr>
  </w:style>
  <w:style w:type="paragraph" w:styleId="5">
    <w:name w:val="footer"/>
    <w:basedOn w:val="1"/>
    <w:qFormat/>
    <w:uiPriority w:val="0"/>
    <w:pPr>
      <w:tabs>
        <w:tab w:val="center" w:pos="4153"/>
        <w:tab w:val="right" w:pos="8306"/>
      </w:tabs>
      <w:snapToGrid w:val="0"/>
      <w:jc w:val="left"/>
    </w:pPr>
    <w:rPr>
      <w:sz w:val="18"/>
    </w:rPr>
  </w:style>
  <w:style w:type="paragraph" w:customStyle="1" w:styleId="8">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2282</Words>
  <Characters>2354</Characters>
  <Lines>0</Lines>
  <Paragraphs>0</Paragraphs>
  <TotalTime>0</TotalTime>
  <ScaleCrop>false</ScaleCrop>
  <LinksUpToDate>false</LinksUpToDate>
  <CharactersWithSpaces>2358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2026-07-16T02:22:00Z</dcterms:created>
  <dc:creator>prideyuan</dc:creator>
  <cp:lastModifiedBy>prideyuan</cp:lastModifiedBy>
  <dcterms:modified xsi:type="dcterms:W3CDTF">2026-07-16T02:25:10Z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F857B4193B29427F89727E16E4810214_11</vt:lpwstr>
  </property>
  <property fmtid="{D5CDD505-2E9C-101B-9397-08002B2CF9AE}" pid="4" name="KSOTemplateDocerSaveRecord">
    <vt:lpwstr>eyJoZGlkIjoiYjFmY2M4YjIyNGU1YWZkMzBhNjcyMDI1YmExODA2Y2EiLCJ1c2VySWQiOiIxMTgxOTgwMjE5In0=</vt:lpwstr>
  </property>
</Properties>
</file>