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F518B">
      <w:pP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附件2：</w:t>
      </w:r>
    </w:p>
    <w:p w14:paraId="277A958A">
      <w:pPr>
        <w:jc w:val="cente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i w:val="0"/>
          <w:iCs w:val="0"/>
          <w:caps w:val="0"/>
          <w:snapToGrid w:val="0"/>
          <w:color w:val="000000" w:themeColor="text1"/>
          <w:spacing w:val="0"/>
          <w:kern w:val="0"/>
          <w:sz w:val="32"/>
          <w:szCs w:val="32"/>
          <w:highlight w:val="none"/>
          <w:shd w:val="clear" w:fill="FFFFFF"/>
          <w:lang w:val="en-US" w:eastAsia="zh-CN" w:bidi="ar"/>
          <w14:textFill>
            <w14:solidFill>
              <w14:schemeClr w14:val="tx1"/>
            </w14:solidFill>
          </w14:textFill>
        </w:rPr>
        <w:t>报价函</w:t>
      </w:r>
    </w:p>
    <w:tbl>
      <w:tblPr>
        <w:tblStyle w:val="9"/>
        <w:tblW w:w="4569"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6"/>
        <w:gridCol w:w="5406"/>
        <w:gridCol w:w="499"/>
        <w:gridCol w:w="427"/>
        <w:gridCol w:w="1542"/>
      </w:tblGrid>
      <w:tr w14:paraId="61A3F93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blHeader/>
        </w:trPr>
        <w:tc>
          <w:tcPr>
            <w:tcW w:w="692" w:type="pct"/>
            <w:tcBorders>
              <w:tl2br w:val="nil"/>
              <w:tr2bl w:val="nil"/>
            </w:tcBorders>
            <w:noWrap/>
            <w:vAlign w:val="center"/>
          </w:tcPr>
          <w:p w14:paraId="1AFD7FD9">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项目名称</w:t>
            </w:r>
          </w:p>
        </w:tc>
        <w:tc>
          <w:tcPr>
            <w:tcW w:w="2957" w:type="pct"/>
            <w:tcBorders>
              <w:tl2br w:val="nil"/>
              <w:tr2bl w:val="nil"/>
            </w:tcBorders>
            <w:noWrap/>
            <w:vAlign w:val="center"/>
          </w:tcPr>
          <w:p w14:paraId="6058BCFB">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服务参数要求</w:t>
            </w:r>
          </w:p>
        </w:tc>
        <w:tc>
          <w:tcPr>
            <w:tcW w:w="272" w:type="pct"/>
            <w:tcBorders>
              <w:tl2br w:val="nil"/>
              <w:tr2bl w:val="nil"/>
            </w:tcBorders>
            <w:noWrap/>
            <w:vAlign w:val="center"/>
          </w:tcPr>
          <w:p w14:paraId="321315A4">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单位</w:t>
            </w:r>
          </w:p>
        </w:tc>
        <w:tc>
          <w:tcPr>
            <w:tcW w:w="233" w:type="pct"/>
            <w:tcBorders>
              <w:tl2br w:val="nil"/>
              <w:tr2bl w:val="nil"/>
            </w:tcBorders>
            <w:noWrap/>
            <w:vAlign w:val="center"/>
          </w:tcPr>
          <w:p w14:paraId="69A85350">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数量</w:t>
            </w:r>
          </w:p>
        </w:tc>
        <w:tc>
          <w:tcPr>
            <w:tcW w:w="843" w:type="pct"/>
            <w:tcBorders>
              <w:tl2br w:val="nil"/>
              <w:tr2bl w:val="nil"/>
            </w:tcBorders>
            <w:noWrap/>
            <w:vAlign w:val="center"/>
          </w:tcPr>
          <w:p w14:paraId="05E4C4B5">
            <w:pPr>
              <w:widowControl/>
              <w:jc w:val="center"/>
              <w:textAlignment w:val="center"/>
              <w:rPr>
                <w:rFonts w:hint="eastAsia" w:hAnsi="宋体" w:cs="宋体"/>
                <w:b/>
                <w:bCs/>
                <w:color w:val="000000"/>
                <w:kern w:val="0"/>
                <w:sz w:val="22"/>
                <w:szCs w:val="22"/>
                <w:lang w:bidi="ar"/>
              </w:rPr>
            </w:pPr>
            <w:r>
              <w:rPr>
                <w:rFonts w:hint="eastAsia" w:hAnsi="宋体" w:eastAsia="宋体" w:cs="宋体"/>
                <w:b/>
                <w:bCs/>
                <w:color w:val="000000"/>
                <w:kern w:val="0"/>
                <w:sz w:val="22"/>
                <w:szCs w:val="22"/>
                <w:lang w:val="en-US" w:eastAsia="zh-CN" w:bidi="ar"/>
              </w:rPr>
              <w:t>报价（万元）</w:t>
            </w:r>
          </w:p>
        </w:tc>
      </w:tr>
      <w:tr w14:paraId="2820AD0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692" w:type="pct"/>
            <w:tcBorders>
              <w:tl2br w:val="nil"/>
              <w:tr2bl w:val="nil"/>
            </w:tcBorders>
            <w:vAlign w:val="center"/>
          </w:tcPr>
          <w:p w14:paraId="008DE70B">
            <w:pPr>
              <w:widowControl/>
              <w:jc w:val="left"/>
              <w:textAlignment w:val="center"/>
              <w:rPr>
                <w:rFonts w:hint="eastAsia" w:ascii="仿宋_GB2312" w:hAnsi="仿宋_GB2312" w:eastAsia="仿宋_GB2312" w:cs="仿宋_GB2312"/>
                <w:b w:val="0"/>
                <w:bCs w:val="0"/>
                <w:color w:val="000000"/>
                <w:sz w:val="22"/>
                <w:szCs w:val="22"/>
              </w:rPr>
            </w:pPr>
            <w:r>
              <w:rPr>
                <w:rFonts w:hint="eastAsia" w:hAnsi="宋体" w:cs="宋体"/>
                <w:b w:val="0"/>
                <w:bCs w:val="0"/>
                <w:color w:val="000000"/>
                <w:sz w:val="32"/>
                <w:szCs w:val="32"/>
                <w:lang w:val="en-US" w:eastAsia="zh-CN"/>
              </w:rPr>
              <w:t>道路交通安全违法行为简易程序行政处罚远程视频执法技术支撑服务项目</w:t>
            </w:r>
          </w:p>
        </w:tc>
        <w:tc>
          <w:tcPr>
            <w:tcW w:w="2957" w:type="pct"/>
            <w:tcBorders>
              <w:tl2br w:val="nil"/>
              <w:tr2bl w:val="nil"/>
            </w:tcBorders>
            <w:vAlign w:val="center"/>
          </w:tcPr>
          <w:p w14:paraId="3A039A83">
            <w:pPr>
              <w:pStyle w:val="4"/>
              <w:autoSpaceDE/>
              <w:autoSpaceDN/>
              <w:spacing w:before="1" w:line="400" w:lineRule="exact"/>
              <w:ind w:left="37"/>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一、项目技术</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需求</w:t>
            </w:r>
          </w:p>
          <w:p w14:paraId="2DB3E4C3">
            <w:pPr>
              <w:pStyle w:val="4"/>
              <w:autoSpaceDE/>
              <w:autoSpaceDN/>
              <w:spacing w:before="159" w:line="400" w:lineRule="exact"/>
              <w:ind w:left="42" w:right="74" w:firstLine="467"/>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按照</w:t>
            </w:r>
            <w:bookmarkStart w:id="0" w:name="_GoBack"/>
            <w:bookmarkEnd w:id="0"/>
            <w:r>
              <w:rPr>
                <w:rFonts w:hint="eastAsia" w:ascii="仿宋_GB2312" w:hAnsi="宋体" w:eastAsia="仿宋_GB2312" w:cs="仿宋_GB2312"/>
                <w:b w:val="0"/>
                <w:bCs w:val="0"/>
                <w:i w:val="0"/>
                <w:iCs w:val="0"/>
                <w:caps w:val="0"/>
                <w:snapToGrid w:val="0"/>
                <w:color w:val="000000" w:themeColor="text1"/>
                <w:spacing w:val="0"/>
                <w:sz w:val="32"/>
                <w:szCs w:val="32"/>
                <w:highlight w:val="none"/>
                <w:shd w:val="clear" w:fill="FFFFFF"/>
                <w:lang w:val="en-US" w:eastAsia="zh-CN" w:bidi="ar-SA"/>
                <w14:textFill>
                  <w14:solidFill>
                    <w14:schemeClr w14:val="tx1"/>
                  </w14:solidFill>
                </w14:textFill>
              </w:rPr>
              <w:t>福州市远程视频执法业务技术支撑服务要求</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提供道路交通安全违法行为简易程序行政处罚远程视频执法技术支撑服务，具体要求如下：</w:t>
            </w:r>
          </w:p>
          <w:p w14:paraId="4DC4FFAE">
            <w:pPr>
              <w:pStyle w:val="4"/>
              <w:numPr>
                <w:ilvl w:val="0"/>
                <w:numId w:val="1"/>
              </w:numPr>
              <w:autoSpaceDE/>
              <w:autoSpaceDN/>
              <w:spacing w:before="159" w:line="400" w:lineRule="exact"/>
              <w:ind w:left="42" w:right="74" w:firstLine="467" w:firstLineChars="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提供的服务包括</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路面铁骑与执法室民警双向</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远程音视频交互、违法处罚前告知、违法行为人电子签名、交通违法行政处罚决定书打印送达、违法数据采集、违法数据核对、违法数据上传、远程执法数据存储等技术支撑服务，提供配套的技术支撑服务平台供采购人使用。</w:t>
            </w:r>
          </w:p>
          <w:p w14:paraId="303954C7">
            <w:pPr>
              <w:pStyle w:val="4"/>
              <w:numPr>
                <w:ilvl w:val="0"/>
                <w:numId w:val="1"/>
              </w:numPr>
              <w:autoSpaceDE/>
              <w:autoSpaceDN/>
              <w:spacing w:before="159" w:line="400" w:lineRule="exact"/>
              <w:ind w:left="42" w:right="74" w:firstLine="467"/>
              <w:jc w:val="left"/>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技术支撑服务的性能要求：支持22个城区交警中队同时开展远程视频执法，技术支撑服务平台</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应满足</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22起同时并发开展远程视频执法，且视频通话质量</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720Pfps。平台采集的</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远程执法数据</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中，音视频证据材料存储时长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185天、违法数据图片证据存储时长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365天。在本项目服务期结束后，针对仍需保存的音视频证据材料，供应商仍需按照上述时长保存历史数据，并根据采购人需求提供历史数据调取服务并提供承诺函，或者供应商使用采购人提供的存储介质完成历史数据导出并提供历史数据查阅的配套工具和软件。</w:t>
            </w:r>
          </w:p>
          <w:p w14:paraId="15E45A39">
            <w:pPr>
              <w:pStyle w:val="4"/>
              <w:numPr>
                <w:ilvl w:val="0"/>
                <w:numId w:val="1"/>
              </w:numPr>
              <w:autoSpaceDE/>
              <w:autoSpaceDN/>
              <w:spacing w:before="159" w:line="400" w:lineRule="exact"/>
              <w:ind w:left="42" w:right="74" w:firstLine="467"/>
              <w:jc w:val="left"/>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远程执法数据（含音视频、图片等证据材料）支持单起导出、支持根据执法单位和执法时间段批量导出。</w:t>
            </w:r>
          </w:p>
          <w:p w14:paraId="114356DC">
            <w:pPr>
              <w:pStyle w:val="4"/>
              <w:numPr>
                <w:ilvl w:val="0"/>
                <w:numId w:val="1"/>
              </w:numPr>
              <w:autoSpaceDE/>
              <w:autoSpaceDN/>
              <w:spacing w:before="159" w:line="400" w:lineRule="exact"/>
              <w:ind w:left="42" w:right="74" w:firstLine="467" w:firstLineChars="0"/>
              <w:rPr>
                <w:rFonts w:hint="default"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本项目提供的技术支撑服务以及采集生成的交通违法数据、</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远程执法数据（含音视频、图片等证据材料）</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需满足各级公安交通管理部门针对交通违法简易程序行政处罚远程视频执法的规范要求，满足公安</w:t>
            </w:r>
            <w:r>
              <w:rPr>
                <w:rFonts w:hint="eastAsia" w:ascii="仿宋_GB2312" w:hAnsi="宋体" w:eastAsia="仿宋_GB2312" w:cs="仿宋_GB2312"/>
                <w:bCs w:val="0"/>
                <w:color w:val="000000" w:themeColor="text1"/>
                <w:sz w:val="32"/>
                <w:szCs w:val="32"/>
                <w:highlight w:val="none"/>
                <w:shd w:val="clear" w:fill="FFFFFF"/>
                <w:lang w:eastAsia="zh-CN"/>
                <w14:textFill>
                  <w14:solidFill>
                    <w14:schemeClr w14:val="tx1"/>
                  </w14:solidFill>
                </w14:textFill>
              </w:rPr>
              <w:t>交通管理综合应用平台</w:t>
            </w:r>
            <w:r>
              <w:rPr>
                <w:rFonts w:hint="eastAsia" w:ascii="仿宋_GB2312" w:hAnsi="宋体" w:eastAsia="仿宋_GB2312" w:cs="仿宋_GB2312"/>
                <w:bCs w:val="0"/>
                <w:color w:val="000000" w:themeColor="text1"/>
                <w:sz w:val="32"/>
                <w:szCs w:val="32"/>
                <w:highlight w:val="none"/>
                <w:shd w:val="clear" w:fill="FFFFFF"/>
                <w:lang w:val="en-US" w:eastAsia="zh-CN"/>
                <w14:textFill>
                  <w14:solidFill>
                    <w14:schemeClr w14:val="tx1"/>
                  </w14:solidFill>
                </w14:textFill>
              </w:rPr>
              <w:t>的交通违法数据</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写入规范要求，并将采集的违法数据上传至该平台。</w:t>
            </w:r>
          </w:p>
          <w:p w14:paraId="7E8D7FEF">
            <w:pPr>
              <w:pStyle w:val="4"/>
              <w:numPr>
                <w:ilvl w:val="0"/>
                <w:numId w:val="1"/>
              </w:numPr>
              <w:autoSpaceDE/>
              <w:autoSpaceDN/>
              <w:spacing w:before="159" w:line="400" w:lineRule="exact"/>
              <w:ind w:left="42" w:right="74" w:firstLine="467" w:firstLineChars="0"/>
              <w:rPr>
                <w:rFonts w:hint="default"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供应商需提供技术支撑服务所需的路面前端执法APP、执法室后端远程视频执法软件（CS客户端软件或BS网页版）以及配套的支持服务平台供采购人使用。供应商需在可信网提供支持服务平台所需的服务器资源，具体要求如下：</w:t>
            </w:r>
          </w:p>
          <w:p w14:paraId="577AF700">
            <w:pPr>
              <w:pStyle w:val="4"/>
              <w:tabs>
                <w:tab w:val="left" w:pos="576"/>
              </w:tabs>
              <w:autoSpaceDE/>
              <w:autoSpaceDN/>
              <w:spacing w:before="159" w:line="400" w:lineRule="exact"/>
              <w:ind w:left="0" w:right="74" w:firstLine="420" w:firstLineChars="0"/>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pP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1）数据库服务器</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内存≥</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128</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SSD</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01A84919">
            <w:pPr>
              <w:pStyle w:val="4"/>
              <w:numPr>
                <w:ilvl w:val="-1"/>
                <w:numId w:val="0"/>
              </w:numPr>
              <w:autoSpaceDE/>
              <w:autoSpaceDN/>
              <w:spacing w:before="159" w:line="400" w:lineRule="exact"/>
              <w:ind w:left="0" w:right="74" w:firstLine="420" w:firstLineChars="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2）应用服务器</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单台服务器性能要求为</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内存≥</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128</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SSD</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424EC022">
            <w:pPr>
              <w:pStyle w:val="4"/>
              <w:numPr>
                <w:ilvl w:val="-1"/>
                <w:numId w:val="0"/>
              </w:numPr>
              <w:autoSpaceDE/>
              <w:autoSpaceDN/>
              <w:spacing w:before="159" w:line="400" w:lineRule="exact"/>
              <w:ind w:left="0" w:right="74" w:firstLine="42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3）数据转发服务器*1台：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 内存≥</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64</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硬盘</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113434B3">
            <w:pPr>
              <w:pStyle w:val="4"/>
              <w:numPr>
                <w:ilvl w:val="-1"/>
                <w:numId w:val="0"/>
              </w:numPr>
              <w:autoSpaceDE/>
              <w:autoSpaceDN/>
              <w:spacing w:before="159" w:line="400" w:lineRule="exact"/>
              <w:ind w:left="0" w:right="74" w:firstLine="42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4)上述4台服务器共提供</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14T的机械硬盘存储空间；</w:t>
            </w:r>
          </w:p>
          <w:p w14:paraId="6E1E40EC">
            <w:pPr>
              <w:pStyle w:val="4"/>
              <w:numPr>
                <w:ilvl w:val="-1"/>
                <w:numId w:val="0"/>
              </w:numPr>
              <w:autoSpaceDE/>
              <w:autoSpaceDN/>
              <w:spacing w:before="159" w:line="400" w:lineRule="exact"/>
              <w:ind w:left="0" w:right="74" w:firstLine="42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5）供应商还应根据采购人的实际远程视频执法量，按照音视频证据材料存储时长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185天、违法数据图片证据存储时长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365天的要求，对服务器的SSD硬盘、机械硬盘存储空间进行扩容。</w:t>
            </w:r>
          </w:p>
          <w:p w14:paraId="1D09439B">
            <w:pPr>
              <w:pStyle w:val="4"/>
              <w:numPr>
                <w:ilvl w:val="0"/>
                <w:numId w:val="1"/>
              </w:numPr>
              <w:autoSpaceDE/>
              <w:autoSpaceDN/>
              <w:spacing w:before="159" w:line="400" w:lineRule="exact"/>
              <w:ind w:left="42" w:right="74" w:firstLine="467"/>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业务培训：对辅警、铁骑、民警使用平台、前端执法APP、</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后端远程视频执法软件</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开展业务培训。</w:t>
            </w:r>
          </w:p>
          <w:p w14:paraId="69735BAF">
            <w:pPr>
              <w:pStyle w:val="4"/>
              <w:numPr>
                <w:ilvl w:val="0"/>
                <w:numId w:val="1"/>
              </w:numPr>
              <w:autoSpaceDE/>
              <w:autoSpaceDN/>
              <w:spacing w:before="159" w:line="400" w:lineRule="exact"/>
              <w:ind w:left="42" w:right="74" w:firstLine="467"/>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应用更新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对使用过程中民辅警提出的应用需求进行持续更新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，各级公安机关针对交通违法远程视频执法有新的规范要求的，按照新规范要求对软硬件进行升级，满足新的规范要求</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w:t>
            </w:r>
          </w:p>
          <w:p w14:paraId="09AE5029">
            <w:pPr>
              <w:pStyle w:val="4"/>
              <w:autoSpaceDE/>
              <w:autoSpaceDN/>
              <w:spacing w:before="159" w:line="400" w:lineRule="exact"/>
              <w:ind w:left="40" w:right="74" w:firstLine="465"/>
              <w:outlineLvl w:val="9"/>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二</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商务要求</w:t>
            </w:r>
          </w:p>
          <w:p w14:paraId="3A3139CB">
            <w:pPr>
              <w:pStyle w:val="4"/>
              <w:numPr>
                <w:ilvl w:val="-1"/>
                <w:numId w:val="0"/>
              </w:numPr>
              <w:autoSpaceDE/>
              <w:autoSpaceDN/>
              <w:spacing w:before="159" w:line="400" w:lineRule="exact"/>
              <w:ind w:left="40" w:right="74" w:firstLine="465" w:firstLineChars="0"/>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1.交付时间：合同签订后</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3个月</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内完成</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远程执法业务平台的部署和使用培训</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，并通过服务交付验收。</w:t>
            </w:r>
          </w:p>
          <w:p w14:paraId="2A167D47">
            <w:pPr>
              <w:pStyle w:val="4"/>
              <w:numPr>
                <w:ilvl w:val="-1"/>
                <w:numId w:val="0"/>
              </w:numPr>
              <w:autoSpaceDE/>
              <w:autoSpaceDN/>
              <w:spacing w:before="159" w:line="400" w:lineRule="exact"/>
              <w:ind w:left="40" w:right="74" w:firstLine="465"/>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2.服务期：本项目服务期一年，服务期自通过服务交付验收之日起算。</w:t>
            </w:r>
          </w:p>
          <w:p w14:paraId="0BEAB60B">
            <w:pPr>
              <w:pStyle w:val="4"/>
              <w:numPr>
                <w:ilvl w:val="-1"/>
                <w:numId w:val="0"/>
              </w:numPr>
              <w:autoSpaceDE/>
              <w:autoSpaceDN/>
              <w:spacing w:before="159" w:line="400" w:lineRule="exact"/>
              <w:ind w:left="40" w:right="74" w:firstLine="465"/>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3.</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验收标准、规范：满足国家、行业现行验收标准。</w:t>
            </w:r>
          </w:p>
          <w:p w14:paraId="476ADEE2">
            <w:pPr>
              <w:pStyle w:val="4"/>
              <w:numPr>
                <w:ilvl w:val="-1"/>
                <w:numId w:val="0"/>
              </w:numPr>
              <w:autoSpaceDE/>
              <w:autoSpaceDN/>
              <w:spacing w:before="159" w:line="400" w:lineRule="exact"/>
              <w:ind w:left="40" w:right="74" w:firstLine="465" w:firstLineChars="0"/>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4.知识产权：</w:t>
            </w:r>
            <w:r>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供应商必须保证采购人在使用其成交产物过程的任何时候均不侵犯第三方的知识产权（包括但不限于专利权、商标权、著作权和技术秘密等权利）。若任何第三方针对中标人根据本项目提供的服务行为提出知识产权侵权指控，中标人须与第三方交涉并承担由此而引起的一切法律责任和费用。如果采购人因为第三方的侵权指控遭受了损失（包括但不限于律师费、诉讼费、生效法律文书要求采购人承担法律责任等），采购人有权向中标人追偿。</w:t>
            </w:r>
          </w:p>
          <w:p w14:paraId="44F8CF9D">
            <w:pPr>
              <w:pStyle w:val="4"/>
              <w:widowControl/>
              <w:autoSpaceDE/>
              <w:autoSpaceDN/>
              <w:spacing w:before="159" w:line="400" w:lineRule="exact"/>
              <w:ind w:left="40" w:right="74" w:firstLine="465"/>
              <w:jc w:val="left"/>
              <w:textAlignment w:val="center"/>
              <w:rPr>
                <w:rFonts w:hint="eastAsia" w:ascii="仿宋_GB2312" w:hAnsi="宋体" w:eastAsia="仿宋_GB2312" w:cs="仿宋_GB2312"/>
                <w:b w:val="0"/>
                <w:bCs w:val="0"/>
                <w:color w:val="000000" w:themeColor="text1"/>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5.因供应商提供的技术支撑服务不满足要求，导致采购人基于供应商提供的技术服务开展的远程视频执法后被撤销、被认定行政行为违法或无效的，视为供应商违约，每起违法供应商应支付违约金500元；因供应商提供的技术支撑服务不满足要求，导致采购人基于供应商提供的技术服务开展的远程视频执法引发行政诉讼且采购人败诉的或导致采购人需行政赔偿的，视为供应商违约，每起违法供应商应支付违约金3000元。</w:t>
            </w:r>
          </w:p>
        </w:tc>
        <w:tc>
          <w:tcPr>
            <w:tcW w:w="272" w:type="pct"/>
            <w:tcBorders>
              <w:tl2br w:val="nil"/>
              <w:tr2bl w:val="nil"/>
            </w:tcBorders>
            <w:noWrap/>
            <w:vAlign w:val="center"/>
          </w:tcPr>
          <w:p w14:paraId="5BEAF47C">
            <w:pPr>
              <w:widowControl/>
              <w:jc w:val="center"/>
              <w:textAlignment w:val="center"/>
              <w:rPr>
                <w:rFonts w:hint="eastAsia" w:hAnsi="宋体" w:cs="宋体"/>
                <w:b w:val="0"/>
                <w:bCs w:val="0"/>
                <w:color w:val="000000"/>
                <w:sz w:val="22"/>
                <w:szCs w:val="22"/>
              </w:rPr>
            </w:pPr>
            <w:r>
              <w:rPr>
                <w:rFonts w:hint="eastAsia" w:hAnsi="宋体" w:cs="宋体"/>
                <w:b w:val="0"/>
                <w:bCs w:val="0"/>
                <w:color w:val="000000"/>
                <w:kern w:val="0"/>
                <w:sz w:val="22"/>
                <w:szCs w:val="22"/>
                <w:lang w:bidi="ar"/>
              </w:rPr>
              <w:t>年</w:t>
            </w:r>
          </w:p>
        </w:tc>
        <w:tc>
          <w:tcPr>
            <w:tcW w:w="233" w:type="pct"/>
            <w:tcBorders>
              <w:tl2br w:val="nil"/>
              <w:tr2bl w:val="nil"/>
            </w:tcBorders>
            <w:noWrap/>
            <w:vAlign w:val="center"/>
          </w:tcPr>
          <w:p w14:paraId="1BA0AC33">
            <w:pPr>
              <w:widowControl/>
              <w:jc w:val="center"/>
              <w:textAlignment w:val="center"/>
              <w:rPr>
                <w:rFonts w:hint="eastAsia" w:hAnsi="宋体" w:cs="宋体"/>
                <w:b w:val="0"/>
                <w:bCs w:val="0"/>
                <w:color w:val="000000"/>
                <w:sz w:val="22"/>
                <w:szCs w:val="22"/>
              </w:rPr>
            </w:pPr>
            <w:r>
              <w:rPr>
                <w:rFonts w:hint="eastAsia" w:asciiTheme="majorEastAsia" w:hAnsiTheme="majorEastAsia" w:eastAsiaTheme="majorEastAsia" w:cstheme="majorEastAsia"/>
                <w:b w:val="0"/>
                <w:bCs w:val="0"/>
                <w:color w:val="000000"/>
                <w:kern w:val="0"/>
                <w:sz w:val="22"/>
                <w:szCs w:val="22"/>
                <w:lang w:bidi="ar"/>
              </w:rPr>
              <w:t>1</w:t>
            </w:r>
          </w:p>
        </w:tc>
        <w:tc>
          <w:tcPr>
            <w:tcW w:w="843" w:type="pct"/>
            <w:tcBorders>
              <w:tl2br w:val="nil"/>
              <w:tr2bl w:val="nil"/>
            </w:tcBorders>
            <w:noWrap/>
            <w:vAlign w:val="center"/>
          </w:tcPr>
          <w:p w14:paraId="6247EC67">
            <w:pPr>
              <w:widowControl/>
              <w:jc w:val="center"/>
              <w:textAlignment w:val="center"/>
              <w:rPr>
                <w:rFonts w:hint="eastAsia" w:hAnsi="宋体" w:cs="宋体"/>
                <w:b w:val="0"/>
                <w:bCs w:val="0"/>
                <w:color w:val="000000"/>
                <w:kern w:val="0"/>
                <w:sz w:val="22"/>
                <w:szCs w:val="22"/>
                <w:lang w:bidi="ar"/>
              </w:rPr>
            </w:pPr>
          </w:p>
        </w:tc>
      </w:tr>
    </w:tbl>
    <w:p w14:paraId="18C2B749">
      <w:pPr>
        <w:jc w:val="both"/>
        <w:rPr>
          <w:rFonts w:hint="eastAsia"/>
          <w:sz w:val="28"/>
          <w:szCs w:val="28"/>
          <w:lang w:val="en-US" w:eastAsia="zh-CN"/>
        </w:rPr>
      </w:pPr>
    </w:p>
    <w:p w14:paraId="1B444168">
      <w:pPr>
        <w:jc w:val="both"/>
        <w:rPr>
          <w:rFonts w:hint="eastAsia"/>
          <w:sz w:val="28"/>
          <w:szCs w:val="28"/>
          <w:u w:val="single"/>
          <w:lang w:val="en-US" w:eastAsia="zh-CN"/>
        </w:rPr>
      </w:pPr>
      <w:r>
        <w:rPr>
          <w:rFonts w:hint="eastAsia"/>
          <w:spacing w:val="28"/>
          <w:sz w:val="28"/>
          <w:szCs w:val="28"/>
          <w:lang w:val="en-US" w:eastAsia="zh-CN"/>
        </w:rPr>
        <w:t>报价人名称：</w:t>
      </w:r>
      <w:r>
        <w:rPr>
          <w:rFonts w:hint="eastAsia"/>
          <w:sz w:val="28"/>
          <w:szCs w:val="28"/>
          <w:u w:val="single"/>
          <w:lang w:val="en-US" w:eastAsia="zh-CN"/>
        </w:rPr>
        <w:t xml:space="preserve">                      （盖章）</w:t>
      </w:r>
    </w:p>
    <w:p w14:paraId="339BCD25">
      <w:pPr>
        <w:jc w:val="both"/>
        <w:rPr>
          <w:rFonts w:hint="eastAsia"/>
          <w:sz w:val="28"/>
          <w:szCs w:val="28"/>
          <w:u w:val="single"/>
          <w:lang w:val="en-US" w:eastAsia="zh-CN"/>
        </w:rPr>
      </w:pPr>
    </w:p>
    <w:p w14:paraId="0ABE8CD4">
      <w:pPr>
        <w:jc w:val="both"/>
        <w:rPr>
          <w:rFonts w:hint="eastAsia"/>
          <w:sz w:val="28"/>
          <w:szCs w:val="28"/>
          <w:u w:val="single"/>
          <w:lang w:val="en-US" w:eastAsia="zh-CN"/>
        </w:rPr>
      </w:pPr>
      <w:r>
        <w:rPr>
          <w:rFonts w:hint="eastAsia"/>
          <w:sz w:val="28"/>
          <w:szCs w:val="28"/>
          <w:u w:val="none"/>
          <w:lang w:val="en-US" w:eastAsia="zh-CN"/>
        </w:rPr>
        <w:t>联系人及电话：</w:t>
      </w:r>
      <w:r>
        <w:rPr>
          <w:rFonts w:hint="eastAsia"/>
          <w:sz w:val="28"/>
          <w:szCs w:val="28"/>
          <w:u w:val="single"/>
          <w:lang w:val="en-US" w:eastAsia="zh-CN"/>
        </w:rPr>
        <w:t xml:space="preserve">                                   </w:t>
      </w:r>
    </w:p>
    <w:p w14:paraId="47108874">
      <w:pPr>
        <w:jc w:val="both"/>
        <w:rPr>
          <w:rFonts w:hint="default"/>
          <w:sz w:val="28"/>
          <w:szCs w:val="28"/>
          <w:u w:val="single"/>
          <w:lang w:val="en-US" w:eastAsia="zh-CN"/>
        </w:rPr>
      </w:pPr>
    </w:p>
    <w:p w14:paraId="2F201430">
      <w:pPr>
        <w:jc w:val="both"/>
        <w:rPr>
          <w:rFonts w:hint="eastAsia"/>
          <w:sz w:val="28"/>
          <w:szCs w:val="28"/>
          <w:u w:val="single"/>
          <w:lang w:val="en-US" w:eastAsia="zh-CN"/>
        </w:rPr>
      </w:pPr>
      <w:r>
        <w:rPr>
          <w:rFonts w:hint="eastAsia"/>
          <w:sz w:val="28"/>
          <w:szCs w:val="28"/>
          <w:u w:val="none"/>
          <w:lang w:val="en-US" w:eastAsia="zh-CN"/>
        </w:rPr>
        <w:t>日        期：</w:t>
      </w:r>
      <w:r>
        <w:rPr>
          <w:rFonts w:hint="eastAsia"/>
          <w:sz w:val="28"/>
          <w:szCs w:val="28"/>
          <w:u w:val="single"/>
          <w:lang w:val="en-US" w:eastAsia="zh-CN"/>
        </w:rPr>
        <w:t xml:space="preserve">            年        月          日 </w:t>
      </w:r>
    </w:p>
    <w:p w14:paraId="7613AF1D">
      <w:pPr>
        <w:jc w:val="both"/>
        <w:rPr>
          <w:rFonts w:hint="eastAsia"/>
          <w:sz w:val="28"/>
          <w:szCs w:val="28"/>
          <w:u w:val="single"/>
          <w:lang w:val="en-US" w:eastAsia="zh-CN"/>
        </w:rPr>
      </w:pPr>
    </w:p>
    <w:p w14:paraId="70E5E97B">
      <w:pPr>
        <w:jc w:val="both"/>
        <w:rPr>
          <w:rFonts w:hint="default"/>
          <w:sz w:val="28"/>
          <w:szCs w:val="28"/>
          <w:u w:val="none"/>
          <w:lang w:val="en-US" w:eastAsia="zh-CN"/>
        </w:rPr>
      </w:pPr>
      <w:r>
        <w:rPr>
          <w:rFonts w:hint="eastAsia"/>
          <w:sz w:val="28"/>
          <w:szCs w:val="28"/>
          <w:u w:val="none"/>
          <w:lang w:val="en-US" w:eastAsia="zh-CN"/>
        </w:rPr>
        <w:t>报价单位属性：</w:t>
      </w:r>
      <w:r>
        <w:rPr>
          <w:rFonts w:hint="eastAsia"/>
          <w:spacing w:val="0"/>
          <w:sz w:val="28"/>
          <w:szCs w:val="28"/>
          <w:u w:val="none"/>
          <w:lang w:val="en-US" w:eastAsia="zh-CN"/>
        </w:rPr>
        <w:t>我司属于</w:t>
      </w:r>
      <w:r>
        <w:rPr>
          <w:rFonts w:hint="eastAsia"/>
          <w:spacing w:val="0"/>
          <w:sz w:val="28"/>
          <w:szCs w:val="28"/>
          <w:u w:val="single"/>
          <w:lang w:val="en-US" w:eastAsia="zh-CN"/>
        </w:rPr>
        <w:t xml:space="preserve">                              </w:t>
      </w:r>
      <w:r>
        <w:rPr>
          <w:rFonts w:hint="eastAsia"/>
          <w:spacing w:val="0"/>
          <w:sz w:val="28"/>
          <w:szCs w:val="28"/>
          <w:u w:val="none"/>
          <w:lang w:val="en-US" w:eastAsia="zh-CN"/>
        </w:rPr>
        <w:t>企</w:t>
      </w:r>
      <w:r>
        <w:rPr>
          <w:rFonts w:hint="eastAsia"/>
          <w:sz w:val="28"/>
          <w:szCs w:val="28"/>
          <w:u w:val="none"/>
          <w:lang w:val="en-US" w:eastAsia="zh-CN"/>
        </w:rPr>
        <w:t>业。</w:t>
      </w:r>
    </w:p>
    <w:p w14:paraId="560352F9">
      <w:pPr>
        <w:pStyle w:val="4"/>
        <w:spacing w:before="287" w:line="219" w:lineRule="auto"/>
        <w:ind w:left="32"/>
      </w:pPr>
      <w:r>
        <w:rPr>
          <w:spacing w:val="-12"/>
        </w:rPr>
        <w:t>填写说明：</w:t>
      </w:r>
    </w:p>
    <w:p w14:paraId="61A0D153">
      <w:pPr>
        <w:pStyle w:val="4"/>
        <w:spacing w:before="287" w:line="217" w:lineRule="auto"/>
        <w:ind w:left="40"/>
        <w:rPr>
          <w:lang w:eastAsia="zh-CN"/>
        </w:rPr>
      </w:pPr>
      <w:r>
        <w:rPr>
          <w:spacing w:val="-3"/>
          <w:lang w:eastAsia="zh-CN"/>
        </w:rPr>
        <w:t>1、报价一览表必须加盖</w:t>
      </w:r>
      <w:r>
        <w:rPr>
          <w:rFonts w:hint="eastAsia"/>
          <w:spacing w:val="-3"/>
          <w:lang w:val="en-US" w:eastAsia="zh-CN"/>
        </w:rPr>
        <w:t>报价</w:t>
      </w:r>
      <w:r>
        <w:rPr>
          <w:spacing w:val="-3"/>
          <w:lang w:eastAsia="zh-CN"/>
        </w:rPr>
        <w:t>单位公章。</w:t>
      </w:r>
    </w:p>
    <w:p w14:paraId="48377BDB">
      <w:pPr>
        <w:spacing w:line="217" w:lineRule="auto"/>
        <w:rPr>
          <w:rFonts w:ascii="仿宋" w:hAnsi="仿宋" w:eastAsia="仿宋" w:cs="仿宋"/>
          <w:snapToGrid w:val="0"/>
          <w:color w:val="000000"/>
          <w:spacing w:val="-3"/>
          <w:sz w:val="24"/>
          <w:szCs w:val="24"/>
          <w:lang w:val="en-US" w:eastAsia="zh-CN" w:bidi="ar-SA"/>
        </w:rPr>
      </w:pPr>
    </w:p>
    <w:p w14:paraId="7EF48C94">
      <w:pPr>
        <w:spacing w:line="217" w:lineRule="auto"/>
        <w:rPr>
          <w:rFonts w:hint="eastAsia" w:ascii="仿宋" w:hAnsi="仿宋" w:eastAsia="仿宋" w:cs="仿宋"/>
          <w:snapToGrid w:val="0"/>
          <w:color w:val="000000"/>
          <w:spacing w:val="-3"/>
          <w:sz w:val="24"/>
          <w:szCs w:val="24"/>
          <w:highlight w:val="yellow"/>
          <w:lang w:val="en-US" w:eastAsia="zh-CN" w:bidi="ar-SA"/>
        </w:rPr>
      </w:pPr>
      <w:r>
        <w:rPr>
          <w:rFonts w:hint="eastAsia" w:ascii="仿宋" w:hAnsi="仿宋" w:eastAsia="仿宋" w:cs="仿宋"/>
          <w:snapToGrid w:val="0"/>
          <w:color w:val="000000"/>
          <w:spacing w:val="-3"/>
          <w:sz w:val="24"/>
          <w:szCs w:val="24"/>
          <w:lang w:val="en-US" w:eastAsia="zh-CN" w:bidi="ar-SA"/>
        </w:rPr>
        <w:t>2、报价</w:t>
      </w:r>
      <w:r>
        <w:rPr>
          <w:rFonts w:hint="eastAsia" w:ascii="仿宋" w:hAnsi="仿宋" w:eastAsia="仿宋" w:cs="仿宋"/>
          <w:snapToGrid w:val="0"/>
          <w:color w:val="000000"/>
          <w:spacing w:val="-3"/>
          <w:sz w:val="24"/>
          <w:szCs w:val="24"/>
          <w:highlight w:val="none"/>
          <w:lang w:val="en-US" w:eastAsia="zh-CN" w:bidi="ar-SA"/>
        </w:rPr>
        <w:t>单位属性一栏请根据实际情况填写大型企业或中小微企业。</w:t>
      </w:r>
    </w:p>
    <w:sectPr>
      <w:footerReference r:id="rId3" w:type="default"/>
      <w:pgSz w:w="11907" w:h="16839"/>
      <w:pgMar w:top="1431" w:right="871" w:bottom="1179" w:left="1250" w:header="0" w:footer="94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7B74">
    <w:pPr>
      <w:spacing w:line="229" w:lineRule="auto"/>
      <w:ind w:left="421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6A01A">
                          <w:pPr>
                            <w:pStyle w:val="6"/>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E86A01A">
                    <w:pPr>
                      <w:pStyle w:val="6"/>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C7088"/>
    <w:multiLevelType w:val="singleLevel"/>
    <w:tmpl w:val="86BC708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OTIxMzUxYWU1NTIxZmNjN2JmNDIzYmM0ZmQyMzdiOWQifQ=="/>
  </w:docVars>
  <w:rsids>
    <w:rsidRoot w:val="00651647"/>
    <w:rsid w:val="00651647"/>
    <w:rsid w:val="006F3D43"/>
    <w:rsid w:val="00B441FA"/>
    <w:rsid w:val="03BA1EC3"/>
    <w:rsid w:val="06D05B2E"/>
    <w:rsid w:val="08F85237"/>
    <w:rsid w:val="09BF38A3"/>
    <w:rsid w:val="0BF3147E"/>
    <w:rsid w:val="0CAD3717"/>
    <w:rsid w:val="0CCC6D98"/>
    <w:rsid w:val="0CEE34CF"/>
    <w:rsid w:val="0CEF563F"/>
    <w:rsid w:val="0E5943DB"/>
    <w:rsid w:val="0F1A69AF"/>
    <w:rsid w:val="102258BD"/>
    <w:rsid w:val="108547E4"/>
    <w:rsid w:val="10EA3C90"/>
    <w:rsid w:val="13706BF0"/>
    <w:rsid w:val="15EF3AF7"/>
    <w:rsid w:val="169C5A2D"/>
    <w:rsid w:val="18CE053E"/>
    <w:rsid w:val="19B238D5"/>
    <w:rsid w:val="19D454DE"/>
    <w:rsid w:val="1DD6430F"/>
    <w:rsid w:val="1F680EB4"/>
    <w:rsid w:val="25841C7B"/>
    <w:rsid w:val="2676497C"/>
    <w:rsid w:val="26771F83"/>
    <w:rsid w:val="2730616D"/>
    <w:rsid w:val="2AD03A9F"/>
    <w:rsid w:val="2CA9499F"/>
    <w:rsid w:val="2DED5D33"/>
    <w:rsid w:val="2F9559FC"/>
    <w:rsid w:val="303A7BAF"/>
    <w:rsid w:val="32674CE9"/>
    <w:rsid w:val="332069F6"/>
    <w:rsid w:val="34AF639F"/>
    <w:rsid w:val="3BF36010"/>
    <w:rsid w:val="3FD605D5"/>
    <w:rsid w:val="452151CC"/>
    <w:rsid w:val="454B2248"/>
    <w:rsid w:val="47FC13A5"/>
    <w:rsid w:val="4B3C6C5F"/>
    <w:rsid w:val="4C5E7CA4"/>
    <w:rsid w:val="52833289"/>
    <w:rsid w:val="53566988"/>
    <w:rsid w:val="563A55A5"/>
    <w:rsid w:val="5783738D"/>
    <w:rsid w:val="59967ADE"/>
    <w:rsid w:val="5D9E610B"/>
    <w:rsid w:val="5F3833E6"/>
    <w:rsid w:val="62606EDB"/>
    <w:rsid w:val="688C356D"/>
    <w:rsid w:val="6B654C9D"/>
    <w:rsid w:val="6BB047E6"/>
    <w:rsid w:val="6C150D37"/>
    <w:rsid w:val="6D043E37"/>
    <w:rsid w:val="6ECD58F9"/>
    <w:rsid w:val="72345C8F"/>
    <w:rsid w:val="72D41001"/>
    <w:rsid w:val="7352461E"/>
    <w:rsid w:val="73AD40FA"/>
    <w:rsid w:val="7485266C"/>
    <w:rsid w:val="757C6CB2"/>
    <w:rsid w:val="79782905"/>
    <w:rsid w:val="7CDD3950"/>
    <w:rsid w:val="7DCA4A14"/>
    <w:rsid w:val="7DEC38FB"/>
    <w:rsid w:val="7F232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4">
    <w:name w:val="Body Text"/>
    <w:basedOn w:val="1"/>
    <w:semiHidden/>
    <w:qFormat/>
    <w:uiPriority w:val="0"/>
    <w:rPr>
      <w:rFonts w:ascii="仿宋" w:hAnsi="仿宋" w:eastAsia="仿宋" w:cs="仿宋"/>
      <w:sz w:val="24"/>
      <w:szCs w:val="24"/>
    </w:rPr>
  </w:style>
  <w:style w:type="paragraph" w:styleId="5">
    <w:name w:val="Body Text Indent 2"/>
    <w:basedOn w:val="1"/>
    <w:qFormat/>
    <w:uiPriority w:val="99"/>
    <w:pPr>
      <w:spacing w:after="120" w:line="480" w:lineRule="auto"/>
      <w:ind w:left="640" w:leftChars="200"/>
    </w:pPr>
    <w:rPr>
      <w:rFonts w:eastAsia="仿宋_GB2312"/>
      <w:sz w:val="32"/>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rPr>
  </w:style>
  <w:style w:type="paragraph" w:customStyle="1" w:styleId="13">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BAIDU</Company>
  <Pages>4</Pages>
  <Words>1644</Words>
  <Characters>1714</Characters>
  <Lines>26</Lines>
  <Paragraphs>7</Paragraphs>
  <TotalTime>11</TotalTime>
  <ScaleCrop>false</ScaleCrop>
  <LinksUpToDate>false</LinksUpToDate>
  <CharactersWithSpaces>1844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2025-12-04T14:59:00Z</dcterms:created>
  <dc:creator>郝洪涛</dc:creator>
  <cp:lastModifiedBy>WPS_1639032588</cp:lastModifiedBy>
  <dcterms:modified xsi:type="dcterms:W3CDTF">2026-07-15T08:34:55Z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2025-12-05T11:31:49Z</vt:filetime>
  </property>
  <property fmtid="{D5CDD505-2E9C-101B-9397-08002B2CF9AE}" pid="4" name="KSOProductBuildVer">
    <vt:lpwstr>2052-12.1.0.26895</vt:lpwstr>
  </property>
  <property fmtid="{D5CDD505-2E9C-101B-9397-08002B2CF9AE}" pid="5" name="ICV">
    <vt:lpwstr>A9948E980694498284B338B79992419C_13</vt:lpwstr>
  </property>
  <property fmtid="{D5CDD505-2E9C-101B-9397-08002B2CF9AE}" pid="6" name="KSOTemplateDocerSaveRecord">
    <vt:lpwstr>eyJoZGlkIjoiM2FiZmU4MzY2ZjBjNmE1ODQzYTJjZmIwZDlkNDk4ZmIiLCJ1c2VySWQiOiIxMjk2NDg5OTEwIn0=</vt:lpwstr>
  </property>
</Properties>
</file>